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99D" w:rsidRDefault="00AA0245">
      <w:pPr>
        <w:jc w:val="center"/>
        <w:rPr>
          <w:rFonts w:ascii="Arial" w:eastAsia="Arial" w:hAnsi="Arial" w:cs="Arial"/>
          <w:sz w:val="22"/>
          <w:szCs w:val="22"/>
        </w:rPr>
      </w:pPr>
      <w:r>
        <w:rPr>
          <w:rFonts w:ascii="Arial" w:eastAsia="Arial" w:hAnsi="Arial" w:cs="Arial"/>
          <w:b/>
          <w:sz w:val="22"/>
          <w:szCs w:val="22"/>
        </w:rPr>
        <w:t>MEMORANDO</w:t>
      </w:r>
    </w:p>
    <w:p w:rsidR="004B199D" w:rsidRDefault="004B199D">
      <w:pPr>
        <w:jc w:val="both"/>
        <w:rPr>
          <w:rFonts w:ascii="Arial" w:eastAsia="Arial" w:hAnsi="Arial" w:cs="Arial"/>
          <w:sz w:val="22"/>
          <w:szCs w:val="22"/>
        </w:rPr>
      </w:pPr>
    </w:p>
    <w:p w:rsidR="004B199D" w:rsidRDefault="004B199D">
      <w:pPr>
        <w:jc w:val="both"/>
        <w:rPr>
          <w:rFonts w:ascii="Arial" w:eastAsia="Arial" w:hAnsi="Arial" w:cs="Arial"/>
          <w:sz w:val="22"/>
          <w:szCs w:val="22"/>
        </w:rPr>
      </w:pP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b/>
          <w:sz w:val="22"/>
          <w:szCs w:val="22"/>
        </w:rPr>
      </w:pPr>
      <w:r>
        <w:rPr>
          <w:rFonts w:ascii="Arial" w:eastAsia="Arial" w:hAnsi="Arial" w:cs="Arial"/>
          <w:sz w:val="22"/>
          <w:szCs w:val="22"/>
        </w:rPr>
        <w:t>PARA</w:t>
      </w:r>
      <w:r>
        <w:rPr>
          <w:rFonts w:ascii="Arial" w:eastAsia="Arial" w:hAnsi="Arial" w:cs="Arial"/>
          <w:b/>
          <w:sz w:val="22"/>
          <w:szCs w:val="22"/>
        </w:rPr>
        <w:t>:</w:t>
      </w:r>
      <w:proofErr w:type="gramStart"/>
      <w:r>
        <w:rPr>
          <w:rFonts w:ascii="Arial" w:eastAsia="Arial" w:hAnsi="Arial" w:cs="Arial"/>
          <w:b/>
          <w:sz w:val="22"/>
          <w:szCs w:val="22"/>
        </w:rPr>
        <w:tab/>
        <w:t xml:space="preserve">  </w:t>
      </w:r>
      <w:r w:rsidR="001F38B9">
        <w:rPr>
          <w:rFonts w:ascii="Arial" w:eastAsia="Arial" w:hAnsi="Arial" w:cs="Arial"/>
          <w:b/>
          <w:sz w:val="22"/>
          <w:szCs w:val="22"/>
        </w:rPr>
        <w:tab/>
      </w:r>
      <w:proofErr w:type="gramEnd"/>
      <w:r>
        <w:rPr>
          <w:rFonts w:ascii="Arial" w:eastAsia="Arial" w:hAnsi="Arial" w:cs="Arial"/>
          <w:b/>
          <w:sz w:val="22"/>
          <w:szCs w:val="22"/>
        </w:rPr>
        <w:t>DAVID ANTONIO GARZÓN FANDIÑO</w:t>
      </w:r>
    </w:p>
    <w:p w:rsidR="004B199D" w:rsidRDefault="00AA0245">
      <w:pPr>
        <w:ind w:left="1418"/>
        <w:rPr>
          <w:rFonts w:ascii="Arial" w:eastAsia="Arial" w:hAnsi="Arial" w:cs="Arial"/>
          <w:b/>
          <w:sz w:val="22"/>
          <w:szCs w:val="22"/>
        </w:rPr>
      </w:pPr>
      <w:r>
        <w:rPr>
          <w:rFonts w:ascii="Arial" w:eastAsia="Arial" w:hAnsi="Arial" w:cs="Arial"/>
          <w:sz w:val="22"/>
          <w:szCs w:val="22"/>
        </w:rPr>
        <w:t xml:space="preserve">Subsecretario de </w:t>
      </w:r>
      <w:r w:rsidR="001F38B9">
        <w:rPr>
          <w:rFonts w:ascii="Arial" w:eastAsia="Arial" w:hAnsi="Arial" w:cs="Arial"/>
          <w:sz w:val="22"/>
          <w:szCs w:val="22"/>
        </w:rPr>
        <w:t>Despacho Comisión</w:t>
      </w:r>
      <w:r>
        <w:rPr>
          <w:rFonts w:ascii="Arial" w:eastAsia="Arial" w:hAnsi="Arial" w:cs="Arial"/>
          <w:sz w:val="22"/>
          <w:szCs w:val="22"/>
        </w:rPr>
        <w:t xml:space="preserve"> Segunda Permanente de Gobierno </w:t>
      </w:r>
    </w:p>
    <w:p w:rsidR="004B199D" w:rsidRDefault="004B199D">
      <w:pPr>
        <w:jc w:val="both"/>
        <w:rPr>
          <w:rFonts w:ascii="Arial" w:eastAsia="Arial" w:hAnsi="Arial" w:cs="Arial"/>
          <w:b/>
          <w:sz w:val="22"/>
          <w:szCs w:val="22"/>
          <w:highlight w:val="yellow"/>
        </w:rPr>
      </w:pPr>
    </w:p>
    <w:p w:rsidR="004B199D" w:rsidRDefault="004B199D">
      <w:pPr>
        <w:tabs>
          <w:tab w:val="left" w:pos="1418"/>
        </w:tabs>
        <w:jc w:val="both"/>
        <w:rPr>
          <w:rFonts w:ascii="Arial" w:eastAsia="Arial" w:hAnsi="Arial" w:cs="Arial"/>
          <w:sz w:val="22"/>
          <w:szCs w:val="22"/>
        </w:rPr>
      </w:pPr>
    </w:p>
    <w:p w:rsidR="004B199D" w:rsidRDefault="004B199D">
      <w:pPr>
        <w:tabs>
          <w:tab w:val="left" w:pos="1418"/>
        </w:tabs>
        <w:jc w:val="both"/>
        <w:rPr>
          <w:rFonts w:ascii="Arial" w:eastAsia="Arial" w:hAnsi="Arial" w:cs="Arial"/>
          <w:sz w:val="22"/>
          <w:szCs w:val="22"/>
        </w:rPr>
      </w:pPr>
    </w:p>
    <w:p w:rsidR="001F38B9" w:rsidRDefault="00AA0245">
      <w:pPr>
        <w:tabs>
          <w:tab w:val="left" w:pos="1418"/>
        </w:tabs>
        <w:jc w:val="both"/>
        <w:rPr>
          <w:rFonts w:ascii="Arial" w:eastAsia="Arial" w:hAnsi="Arial" w:cs="Arial"/>
          <w:b/>
          <w:sz w:val="22"/>
          <w:szCs w:val="22"/>
        </w:rPr>
      </w:pPr>
      <w:r>
        <w:rPr>
          <w:rFonts w:ascii="Arial" w:eastAsia="Arial" w:hAnsi="Arial" w:cs="Arial"/>
          <w:sz w:val="22"/>
          <w:szCs w:val="22"/>
        </w:rPr>
        <w:t>DE</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t xml:space="preserve">Edison </w:t>
      </w:r>
      <w:r w:rsidR="001F38B9">
        <w:rPr>
          <w:rFonts w:ascii="Arial" w:eastAsia="Arial" w:hAnsi="Arial" w:cs="Arial"/>
          <w:sz w:val="22"/>
          <w:szCs w:val="22"/>
        </w:rPr>
        <w:t>Julián</w:t>
      </w:r>
      <w:r>
        <w:rPr>
          <w:rFonts w:ascii="Arial" w:eastAsia="Arial" w:hAnsi="Arial" w:cs="Arial"/>
          <w:sz w:val="22"/>
          <w:szCs w:val="22"/>
        </w:rPr>
        <w:t xml:space="preserve"> Forero </w:t>
      </w:r>
      <w:proofErr w:type="spellStart"/>
      <w:r>
        <w:rPr>
          <w:rFonts w:ascii="Arial" w:eastAsia="Arial" w:hAnsi="Arial" w:cs="Arial"/>
          <w:sz w:val="22"/>
          <w:szCs w:val="22"/>
        </w:rPr>
        <w:t>Castelblanco</w:t>
      </w:r>
      <w:proofErr w:type="spellEnd"/>
      <w:r>
        <w:rPr>
          <w:rFonts w:ascii="Arial" w:eastAsia="Arial" w:hAnsi="Arial" w:cs="Arial"/>
          <w:sz w:val="22"/>
          <w:szCs w:val="22"/>
        </w:rPr>
        <w:t xml:space="preserve">, </w:t>
      </w:r>
      <w:r>
        <w:rPr>
          <w:rFonts w:ascii="Arial" w:eastAsia="Arial" w:hAnsi="Arial" w:cs="Arial"/>
          <w:b/>
          <w:sz w:val="22"/>
          <w:szCs w:val="22"/>
        </w:rPr>
        <w:t xml:space="preserve"> </w:t>
      </w:r>
    </w:p>
    <w:p w:rsidR="004B199D" w:rsidRDefault="001F38B9">
      <w:pPr>
        <w:tabs>
          <w:tab w:val="left" w:pos="1418"/>
        </w:tabs>
        <w:jc w:val="both"/>
        <w:rPr>
          <w:rFonts w:ascii="Arial" w:eastAsia="Arial" w:hAnsi="Arial" w:cs="Arial"/>
          <w:sz w:val="22"/>
          <w:szCs w:val="22"/>
        </w:rPr>
      </w:pPr>
      <w:r>
        <w:rPr>
          <w:rFonts w:ascii="Arial" w:eastAsia="Arial" w:hAnsi="Arial" w:cs="Arial"/>
          <w:b/>
          <w:sz w:val="22"/>
          <w:szCs w:val="22"/>
        </w:rPr>
        <w:tab/>
      </w:r>
      <w:r w:rsidR="00AA0245">
        <w:rPr>
          <w:rFonts w:ascii="Arial" w:eastAsia="Arial" w:hAnsi="Arial" w:cs="Arial"/>
          <w:sz w:val="22"/>
          <w:szCs w:val="22"/>
        </w:rPr>
        <w:t xml:space="preserve">Andrés Darío </w:t>
      </w:r>
      <w:proofErr w:type="spellStart"/>
      <w:r w:rsidR="00AA0245">
        <w:rPr>
          <w:rFonts w:ascii="Arial" w:eastAsia="Arial" w:hAnsi="Arial" w:cs="Arial"/>
          <w:sz w:val="22"/>
          <w:szCs w:val="22"/>
        </w:rPr>
        <w:t>Onzaga</w:t>
      </w:r>
      <w:proofErr w:type="spellEnd"/>
      <w:r w:rsidR="00AA0245">
        <w:rPr>
          <w:rFonts w:ascii="Arial" w:eastAsia="Arial" w:hAnsi="Arial" w:cs="Arial"/>
          <w:sz w:val="22"/>
          <w:szCs w:val="22"/>
        </w:rPr>
        <w:t xml:space="preserve"> </w:t>
      </w:r>
      <w:r>
        <w:rPr>
          <w:rFonts w:ascii="Arial" w:eastAsia="Arial" w:hAnsi="Arial" w:cs="Arial"/>
          <w:sz w:val="22"/>
          <w:szCs w:val="22"/>
        </w:rPr>
        <w:t>Niño</w:t>
      </w:r>
      <w:r w:rsidR="00AA0245">
        <w:rPr>
          <w:rFonts w:ascii="Arial" w:eastAsia="Arial" w:hAnsi="Arial" w:cs="Arial"/>
          <w:sz w:val="22"/>
          <w:szCs w:val="22"/>
        </w:rPr>
        <w:t>.</w:t>
      </w:r>
    </w:p>
    <w:p w:rsidR="004B199D" w:rsidRDefault="004B199D">
      <w:pPr>
        <w:tabs>
          <w:tab w:val="left" w:pos="1418"/>
        </w:tabs>
        <w:jc w:val="both"/>
        <w:rPr>
          <w:rFonts w:ascii="Arial" w:eastAsia="Arial" w:hAnsi="Arial" w:cs="Arial"/>
          <w:sz w:val="22"/>
          <w:szCs w:val="22"/>
        </w:rPr>
      </w:pPr>
    </w:p>
    <w:p w:rsidR="004B199D" w:rsidRDefault="004B199D">
      <w:pPr>
        <w:tabs>
          <w:tab w:val="left" w:pos="1418"/>
        </w:tabs>
        <w:jc w:val="both"/>
        <w:rPr>
          <w:rFonts w:ascii="Arial" w:eastAsia="Arial" w:hAnsi="Arial" w:cs="Arial"/>
          <w:sz w:val="22"/>
          <w:szCs w:val="22"/>
        </w:rPr>
      </w:pPr>
    </w:p>
    <w:p w:rsidR="001F38B9" w:rsidRDefault="00AA0245" w:rsidP="001F38B9">
      <w:pPr>
        <w:spacing w:line="276" w:lineRule="auto"/>
        <w:rPr>
          <w:rFonts w:ascii="Arial" w:eastAsia="Arial" w:hAnsi="Arial" w:cs="Arial"/>
          <w:sz w:val="22"/>
          <w:szCs w:val="22"/>
        </w:rPr>
      </w:pPr>
      <w:r>
        <w:rPr>
          <w:rFonts w:ascii="Arial" w:eastAsia="Arial" w:hAnsi="Arial" w:cs="Arial"/>
          <w:sz w:val="22"/>
          <w:szCs w:val="22"/>
        </w:rPr>
        <w:t>ASUNTO</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r>
      <w:r w:rsidR="001F38B9">
        <w:rPr>
          <w:rFonts w:ascii="Arial" w:eastAsia="Arial" w:hAnsi="Arial" w:cs="Arial"/>
          <w:b/>
          <w:sz w:val="22"/>
          <w:szCs w:val="22"/>
        </w:rPr>
        <w:t xml:space="preserve">Asunto: </w:t>
      </w:r>
      <w:r w:rsidR="001F38B9">
        <w:rPr>
          <w:rFonts w:ascii="Arial" w:eastAsia="Arial" w:hAnsi="Arial" w:cs="Arial"/>
          <w:sz w:val="22"/>
          <w:szCs w:val="22"/>
        </w:rPr>
        <w:t xml:space="preserve">Solicitud de desarchivo a la ponencia del </w:t>
      </w:r>
      <w:r w:rsidR="00790143">
        <w:rPr>
          <w:rFonts w:ascii="Arial" w:eastAsia="Arial" w:hAnsi="Arial" w:cs="Arial"/>
          <w:sz w:val="22"/>
          <w:szCs w:val="22"/>
        </w:rPr>
        <w:t>Proyecto de Acu</w:t>
      </w:r>
      <w:r w:rsidR="00E82DB5">
        <w:rPr>
          <w:rFonts w:ascii="Arial" w:eastAsia="Arial" w:hAnsi="Arial" w:cs="Arial"/>
          <w:sz w:val="22"/>
          <w:szCs w:val="22"/>
        </w:rPr>
        <w:t>erdo 337 de 2025, renumerado 561</w:t>
      </w:r>
      <w:r w:rsidR="001F38B9">
        <w:rPr>
          <w:rFonts w:ascii="Arial" w:eastAsia="Arial" w:hAnsi="Arial" w:cs="Arial"/>
          <w:sz w:val="22"/>
          <w:szCs w:val="22"/>
        </w:rPr>
        <w:t xml:space="preserve"> de 2025.</w:t>
      </w:r>
    </w:p>
    <w:p w:rsidR="001F38B9" w:rsidRDefault="001F38B9" w:rsidP="001F38B9">
      <w:pPr>
        <w:spacing w:line="276" w:lineRule="auto"/>
        <w:rPr>
          <w:rFonts w:ascii="Arial" w:eastAsia="Arial" w:hAnsi="Arial" w:cs="Arial"/>
          <w:sz w:val="22"/>
          <w:szCs w:val="22"/>
        </w:rPr>
      </w:pPr>
    </w:p>
    <w:p w:rsidR="001F38B9" w:rsidRPr="00C60375" w:rsidRDefault="001F38B9" w:rsidP="001F38B9">
      <w:pPr>
        <w:spacing w:line="276" w:lineRule="auto"/>
        <w:rPr>
          <w:rFonts w:ascii="Arial" w:eastAsia="Arial" w:hAnsi="Arial" w:cs="Arial"/>
          <w:sz w:val="22"/>
          <w:szCs w:val="22"/>
        </w:rPr>
      </w:pPr>
    </w:p>
    <w:p w:rsidR="004B199D" w:rsidRDefault="001F38B9" w:rsidP="001F38B9">
      <w:pPr>
        <w:tabs>
          <w:tab w:val="left" w:pos="1418"/>
        </w:tabs>
        <w:jc w:val="both"/>
        <w:rPr>
          <w:rFonts w:ascii="Arial" w:eastAsia="Arial" w:hAnsi="Arial" w:cs="Arial"/>
          <w:sz w:val="22"/>
          <w:szCs w:val="22"/>
        </w:rPr>
      </w:pPr>
      <w:r>
        <w:rPr>
          <w:rFonts w:ascii="Arial" w:eastAsia="Arial" w:hAnsi="Arial" w:cs="Arial"/>
          <w:sz w:val="22"/>
          <w:szCs w:val="22"/>
        </w:rPr>
        <w:t>Por designación efectuada</w:t>
      </w:r>
      <w:r w:rsidRPr="00C60375">
        <w:rPr>
          <w:rFonts w:ascii="Arial" w:eastAsia="Arial" w:hAnsi="Arial" w:cs="Arial"/>
          <w:sz w:val="22"/>
          <w:szCs w:val="22"/>
        </w:rPr>
        <w:t xml:space="preserve"> parte de la Secretaría General de la Corporación, y encontrándonos dentro del término reglamentario establ</w:t>
      </w:r>
      <w:r>
        <w:rPr>
          <w:rFonts w:ascii="Arial" w:eastAsia="Arial" w:hAnsi="Arial" w:cs="Arial"/>
          <w:sz w:val="22"/>
          <w:szCs w:val="22"/>
        </w:rPr>
        <w:t xml:space="preserve">ecido y según lo dispuesto en los artículos 14 y 17 del Acuerdo 837 de 2022, </w:t>
      </w:r>
      <w:r w:rsidR="00AA0245">
        <w:rPr>
          <w:rFonts w:ascii="Arial" w:eastAsia="Arial" w:hAnsi="Arial" w:cs="Arial"/>
          <w:sz w:val="22"/>
          <w:szCs w:val="22"/>
        </w:rPr>
        <w:t xml:space="preserve">me permito </w:t>
      </w:r>
      <w:r>
        <w:rPr>
          <w:rFonts w:ascii="Arial" w:eastAsia="Arial" w:hAnsi="Arial" w:cs="Arial"/>
          <w:sz w:val="22"/>
          <w:szCs w:val="22"/>
        </w:rPr>
        <w:t xml:space="preserve">solicitar el desarchivo de </w:t>
      </w:r>
      <w:r w:rsidR="00AA0245">
        <w:rPr>
          <w:rFonts w:ascii="Arial" w:eastAsia="Arial" w:hAnsi="Arial" w:cs="Arial"/>
          <w:sz w:val="22"/>
          <w:szCs w:val="22"/>
        </w:rPr>
        <w:t xml:space="preserve"> la ponencia</w:t>
      </w:r>
      <w:r w:rsidR="003D5B27">
        <w:rPr>
          <w:rFonts w:ascii="Arial" w:eastAsia="Arial" w:hAnsi="Arial" w:cs="Arial"/>
          <w:sz w:val="22"/>
          <w:szCs w:val="22"/>
        </w:rPr>
        <w:t xml:space="preserve"> </w:t>
      </w:r>
      <w:r w:rsidR="00AA0245">
        <w:rPr>
          <w:rFonts w:ascii="Arial" w:eastAsia="Arial" w:hAnsi="Arial" w:cs="Arial"/>
          <w:sz w:val="22"/>
          <w:szCs w:val="22"/>
        </w:rPr>
        <w:t xml:space="preserve"> positiva</w:t>
      </w:r>
      <w:r w:rsidR="003D5B27">
        <w:rPr>
          <w:rFonts w:ascii="Arial" w:eastAsia="Arial" w:hAnsi="Arial" w:cs="Arial"/>
          <w:sz w:val="22"/>
          <w:szCs w:val="22"/>
        </w:rPr>
        <w:t xml:space="preserve"> conjunta</w:t>
      </w:r>
      <w:r w:rsidR="00AA0245">
        <w:rPr>
          <w:rFonts w:ascii="Arial" w:eastAsia="Arial" w:hAnsi="Arial" w:cs="Arial"/>
          <w:sz w:val="22"/>
          <w:szCs w:val="22"/>
        </w:rPr>
        <w:t xml:space="preserve"> con modificaciones para primer debat</w:t>
      </w:r>
      <w:r w:rsidR="00790143">
        <w:rPr>
          <w:rFonts w:ascii="Arial" w:eastAsia="Arial" w:hAnsi="Arial" w:cs="Arial"/>
          <w:sz w:val="22"/>
          <w:szCs w:val="22"/>
        </w:rPr>
        <w:t>e al Proyecto de Acuerdo No. 337</w:t>
      </w:r>
      <w:r w:rsidR="00AA0245">
        <w:rPr>
          <w:rFonts w:ascii="Arial" w:eastAsia="Arial" w:hAnsi="Arial" w:cs="Arial"/>
          <w:sz w:val="22"/>
          <w:szCs w:val="22"/>
        </w:rPr>
        <w:t xml:space="preserve"> de 2025,</w:t>
      </w:r>
      <w:r w:rsidR="00E82DB5">
        <w:rPr>
          <w:rFonts w:ascii="Arial" w:eastAsia="Arial" w:hAnsi="Arial" w:cs="Arial"/>
          <w:sz w:val="22"/>
          <w:szCs w:val="22"/>
        </w:rPr>
        <w:t xml:space="preserve"> renumerado 561</w:t>
      </w:r>
      <w:r>
        <w:rPr>
          <w:rFonts w:ascii="Arial" w:eastAsia="Arial" w:hAnsi="Arial" w:cs="Arial"/>
          <w:sz w:val="22"/>
          <w:szCs w:val="22"/>
        </w:rPr>
        <w:t xml:space="preserve"> de 2025</w:t>
      </w:r>
      <w:r w:rsidR="00AA0245">
        <w:rPr>
          <w:rFonts w:ascii="Arial" w:eastAsia="Arial" w:hAnsi="Arial" w:cs="Arial"/>
          <w:b/>
          <w:sz w:val="22"/>
          <w:szCs w:val="22"/>
        </w:rPr>
        <w:t xml:space="preserve"> “</w:t>
      </w:r>
      <w:r w:rsidR="00AA0245">
        <w:rPr>
          <w:rFonts w:ascii="Arial" w:eastAsia="Arial" w:hAnsi="Arial" w:cs="Arial"/>
          <w:b/>
          <w:i/>
          <w:sz w:val="22"/>
          <w:szCs w:val="22"/>
        </w:rPr>
        <w:t>POR MEDIO DEL CUAL SE CREA EL PROGRAMA "SONRISA RURAL", ORIENTADO A MEJORAR LA SALUD ORAL DE LAS COMUNIDADES RURALES DE BOGOTÁ</w:t>
      </w:r>
      <w:r w:rsidR="00AA0245">
        <w:rPr>
          <w:rFonts w:ascii="Arial" w:eastAsia="Arial" w:hAnsi="Arial" w:cs="Arial"/>
          <w:b/>
          <w:sz w:val="22"/>
          <w:szCs w:val="22"/>
        </w:rPr>
        <w:t>”</w:t>
      </w:r>
      <w:r w:rsidR="00AA0245">
        <w:rPr>
          <w:rFonts w:ascii="Arial" w:eastAsia="Arial" w:hAnsi="Arial" w:cs="Arial"/>
          <w:sz w:val="22"/>
          <w:szCs w:val="22"/>
        </w:rPr>
        <w:t>, dentro del término establecido.</w:t>
      </w:r>
    </w:p>
    <w:p w:rsidR="004B199D" w:rsidRDefault="004B199D">
      <w:pPr>
        <w:tabs>
          <w:tab w:val="left" w:pos="1418"/>
        </w:tabs>
        <w:jc w:val="both"/>
        <w:rPr>
          <w:rFonts w:ascii="Arial" w:eastAsia="Arial" w:hAnsi="Arial" w:cs="Arial"/>
          <w:sz w:val="22"/>
          <w:szCs w:val="22"/>
        </w:rPr>
      </w:pPr>
    </w:p>
    <w:p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Respetuosamente,</w:t>
      </w:r>
    </w:p>
    <w:p w:rsidR="004B199D" w:rsidRDefault="004B199D">
      <w:pPr>
        <w:tabs>
          <w:tab w:val="left" w:pos="1418"/>
        </w:tabs>
        <w:jc w:val="both"/>
        <w:rPr>
          <w:rFonts w:ascii="Arial" w:eastAsia="Arial" w:hAnsi="Arial" w:cs="Arial"/>
          <w:sz w:val="22"/>
          <w:szCs w:val="22"/>
        </w:rPr>
      </w:pPr>
    </w:p>
    <w:p w:rsidR="004B199D" w:rsidRDefault="004B199D">
      <w:pPr>
        <w:tabs>
          <w:tab w:val="left" w:pos="1418"/>
        </w:tabs>
        <w:jc w:val="both"/>
        <w:rPr>
          <w:rFonts w:ascii="Arial" w:eastAsia="Arial" w:hAnsi="Arial" w:cs="Arial"/>
          <w:sz w:val="22"/>
          <w:szCs w:val="22"/>
        </w:rPr>
      </w:pPr>
    </w:p>
    <w:p w:rsidR="004B199D" w:rsidRDefault="004B199D">
      <w:pPr>
        <w:tabs>
          <w:tab w:val="left" w:pos="1418"/>
        </w:tabs>
        <w:jc w:val="both"/>
        <w:rPr>
          <w:rFonts w:ascii="Arial" w:eastAsia="Arial" w:hAnsi="Arial" w:cs="Arial"/>
          <w:sz w:val="22"/>
          <w:szCs w:val="22"/>
        </w:rPr>
      </w:pPr>
    </w:p>
    <w:p w:rsidR="004B199D" w:rsidRDefault="004B199D">
      <w:pPr>
        <w:tabs>
          <w:tab w:val="left" w:pos="1418"/>
        </w:tabs>
        <w:jc w:val="both"/>
        <w:rPr>
          <w:rFonts w:ascii="Arial" w:eastAsia="Arial" w:hAnsi="Arial" w:cs="Arial"/>
          <w:sz w:val="22"/>
          <w:szCs w:val="22"/>
        </w:rPr>
      </w:pPr>
    </w:p>
    <w:p w:rsidR="004B199D" w:rsidRDefault="00AA0245">
      <w:pPr>
        <w:rPr>
          <w:rFonts w:ascii="Arial" w:eastAsia="Arial" w:hAnsi="Arial" w:cs="Arial"/>
          <w:b/>
          <w:sz w:val="22"/>
          <w:szCs w:val="22"/>
        </w:rPr>
      </w:pPr>
      <w:r>
        <w:rPr>
          <w:rFonts w:ascii="Arial" w:eastAsia="Arial" w:hAnsi="Arial" w:cs="Arial"/>
          <w:b/>
          <w:sz w:val="22"/>
          <w:szCs w:val="22"/>
        </w:rPr>
        <w:t xml:space="preserve">                                                                                  </w:t>
      </w:r>
    </w:p>
    <w:p w:rsidR="004B199D" w:rsidRDefault="00AA0245">
      <w:pPr>
        <w:rPr>
          <w:rFonts w:ascii="Arial" w:eastAsia="Arial" w:hAnsi="Arial" w:cs="Arial"/>
          <w:b/>
          <w:sz w:val="22"/>
          <w:szCs w:val="22"/>
        </w:rPr>
      </w:pPr>
      <w:r>
        <w:rPr>
          <w:rFonts w:ascii="Arial" w:eastAsia="Arial" w:hAnsi="Arial" w:cs="Arial"/>
          <w:b/>
          <w:sz w:val="22"/>
          <w:szCs w:val="22"/>
        </w:rPr>
        <w:t>JULIAN FORERO CASTELBLANCO                      ANDRÉS DARÍO ONZAGA NIÑO</w:t>
      </w:r>
    </w:p>
    <w:p w:rsidR="004B199D" w:rsidRDefault="00AA0245">
      <w:pPr>
        <w:rPr>
          <w:rFonts w:ascii="Arial" w:eastAsia="Arial" w:hAnsi="Arial" w:cs="Arial"/>
          <w:sz w:val="22"/>
          <w:szCs w:val="22"/>
        </w:rPr>
      </w:pPr>
      <w:r>
        <w:rPr>
          <w:rFonts w:ascii="Arial" w:eastAsia="Arial" w:hAnsi="Arial" w:cs="Arial"/>
          <w:sz w:val="22"/>
          <w:szCs w:val="22"/>
        </w:rPr>
        <w:t>Concejal de Bogotá                                                   Concejal de Bogotá</w:t>
      </w:r>
    </w:p>
    <w:p w:rsidR="004B199D" w:rsidRDefault="00AA0245">
      <w:pPr>
        <w:rPr>
          <w:rFonts w:ascii="Arial" w:eastAsia="Arial" w:hAnsi="Arial" w:cs="Arial"/>
          <w:sz w:val="22"/>
          <w:szCs w:val="22"/>
        </w:rPr>
      </w:pPr>
      <w:r>
        <w:rPr>
          <w:rFonts w:ascii="Arial" w:eastAsia="Arial" w:hAnsi="Arial" w:cs="Arial"/>
          <w:sz w:val="22"/>
          <w:szCs w:val="22"/>
        </w:rPr>
        <w:t>Partido Colombia Renaciente                                    Partido Alianza Verde</w:t>
      </w:r>
    </w:p>
    <w:p w:rsidR="004B199D" w:rsidRDefault="00AA0245">
      <w:pPr>
        <w:rPr>
          <w:rFonts w:ascii="Arial" w:eastAsia="Arial" w:hAnsi="Arial" w:cs="Arial"/>
          <w:sz w:val="22"/>
          <w:szCs w:val="22"/>
        </w:rPr>
      </w:pPr>
      <w:r>
        <w:rPr>
          <w:rFonts w:ascii="Arial" w:eastAsia="Arial" w:hAnsi="Arial" w:cs="Arial"/>
          <w:sz w:val="22"/>
          <w:szCs w:val="22"/>
        </w:rPr>
        <w:t>Ponente                                                                     coordinador</w:t>
      </w:r>
    </w:p>
    <w:p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 xml:space="preserve">                                            </w:t>
      </w:r>
    </w:p>
    <w:p w:rsidR="004B199D" w:rsidRDefault="004B199D">
      <w:pPr>
        <w:spacing w:line="218" w:lineRule="auto"/>
        <w:jc w:val="both"/>
        <w:rPr>
          <w:rFonts w:ascii="Arial" w:eastAsia="Arial" w:hAnsi="Arial" w:cs="Arial"/>
          <w:sz w:val="22"/>
          <w:szCs w:val="22"/>
        </w:rPr>
      </w:pPr>
    </w:p>
    <w:p w:rsidR="004B199D" w:rsidRDefault="004B199D">
      <w:pPr>
        <w:spacing w:line="218" w:lineRule="auto"/>
        <w:jc w:val="both"/>
        <w:rPr>
          <w:rFonts w:ascii="Arial" w:eastAsia="Arial" w:hAnsi="Arial" w:cs="Arial"/>
          <w:sz w:val="22"/>
          <w:szCs w:val="22"/>
        </w:rPr>
      </w:pPr>
    </w:p>
    <w:p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rsidR="004B199D" w:rsidRDefault="00AA0245">
      <w:pPr>
        <w:pBdr>
          <w:top w:val="nil"/>
          <w:left w:val="nil"/>
          <w:bottom w:val="nil"/>
          <w:right w:val="nil"/>
          <w:between w:val="nil"/>
        </w:pBdr>
        <w:spacing w:line="276" w:lineRule="auto"/>
        <w:ind w:left="360"/>
        <w:jc w:val="center"/>
        <w:rPr>
          <w:rFonts w:ascii="Arial" w:eastAsia="Arial" w:hAnsi="Arial" w:cs="Arial"/>
          <w:b/>
          <w:sz w:val="22"/>
          <w:szCs w:val="22"/>
        </w:rPr>
      </w:pPr>
      <w:r>
        <w:rPr>
          <w:rFonts w:ascii="Arial" w:eastAsia="Arial" w:hAnsi="Arial" w:cs="Arial"/>
          <w:b/>
          <w:sz w:val="22"/>
          <w:szCs w:val="22"/>
        </w:rPr>
        <w:lastRenderedPageBreak/>
        <w:t>PONE</w:t>
      </w:r>
      <w:r w:rsidR="00E82DB5">
        <w:rPr>
          <w:rFonts w:ascii="Arial" w:eastAsia="Arial" w:hAnsi="Arial" w:cs="Arial"/>
          <w:b/>
          <w:sz w:val="22"/>
          <w:szCs w:val="22"/>
        </w:rPr>
        <w:t>NCIA PROYECTO DE ACUERDO No. 561</w:t>
      </w:r>
      <w:r>
        <w:rPr>
          <w:rFonts w:ascii="Arial" w:eastAsia="Arial" w:hAnsi="Arial" w:cs="Arial"/>
          <w:b/>
          <w:sz w:val="22"/>
          <w:szCs w:val="22"/>
        </w:rPr>
        <w:t xml:space="preserve"> DE 2025</w:t>
      </w:r>
    </w:p>
    <w:p w:rsidR="004B199D" w:rsidRDefault="00AA0245">
      <w:pPr>
        <w:spacing w:before="280" w:after="280"/>
        <w:jc w:val="center"/>
        <w:rPr>
          <w:rFonts w:ascii="Arial" w:eastAsia="Arial" w:hAnsi="Arial" w:cs="Arial"/>
          <w:b/>
          <w:sz w:val="22"/>
          <w:szCs w:val="22"/>
        </w:rPr>
      </w:pPr>
      <w:r>
        <w:rPr>
          <w:rFonts w:ascii="Arial" w:eastAsia="Arial" w:hAnsi="Arial" w:cs="Arial"/>
          <w:b/>
          <w:sz w:val="22"/>
          <w:szCs w:val="22"/>
        </w:rPr>
        <w:t xml:space="preserve">POR MEDIO DEL CUAL SE CREA EL PROGRAMA "SONRISA RURAL", ORIENTADO A MEJORAR LA SALUD ORAL DE LAS COMUNIDADES RURALES DE BOGOTÁ </w:t>
      </w:r>
    </w:p>
    <w:p w:rsidR="004B199D" w:rsidRDefault="004B199D">
      <w:pPr>
        <w:spacing w:line="276" w:lineRule="auto"/>
        <w:rPr>
          <w:rFonts w:ascii="Arial" w:eastAsia="Arial" w:hAnsi="Arial" w:cs="Arial"/>
          <w:b/>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OBJETO DEL PROYECTO</w:t>
      </w:r>
    </w:p>
    <w:p w:rsidR="004B199D" w:rsidRDefault="004B199D">
      <w:pPr>
        <w:widowControl w:val="0"/>
        <w:spacing w:line="276" w:lineRule="auto"/>
        <w:jc w:val="both"/>
        <w:rPr>
          <w:rFonts w:ascii="Arial" w:eastAsia="Arial" w:hAnsi="Arial" w:cs="Arial"/>
          <w:sz w:val="22"/>
          <w:szCs w:val="22"/>
        </w:rPr>
      </w:pPr>
    </w:p>
    <w:p w:rsidR="004B199D" w:rsidRDefault="00AA0245">
      <w:pPr>
        <w:widowControl w:val="0"/>
        <w:spacing w:line="276" w:lineRule="auto"/>
        <w:jc w:val="both"/>
        <w:rPr>
          <w:rFonts w:ascii="Arial" w:eastAsia="Arial" w:hAnsi="Arial" w:cs="Arial"/>
          <w:sz w:val="22"/>
          <w:szCs w:val="22"/>
        </w:rPr>
      </w:pPr>
      <w:r>
        <w:rPr>
          <w:rFonts w:ascii="Arial" w:eastAsia="Arial" w:hAnsi="Arial" w:cs="Arial"/>
          <w:sz w:val="22"/>
          <w:szCs w:val="22"/>
        </w:rPr>
        <w:t>La iniciativa, se circunscribe a lo siguiente:</w:t>
      </w:r>
    </w:p>
    <w:p w:rsidR="004B199D" w:rsidRDefault="004B199D">
      <w:pPr>
        <w:widowControl w:val="0"/>
        <w:spacing w:line="276" w:lineRule="auto"/>
        <w:jc w:val="both"/>
        <w:rPr>
          <w:rFonts w:ascii="Arial" w:eastAsia="Arial" w:hAnsi="Arial" w:cs="Arial"/>
          <w:sz w:val="22"/>
          <w:szCs w:val="22"/>
        </w:rPr>
      </w:pPr>
    </w:p>
    <w:p w:rsidR="004B199D" w:rsidRDefault="00AA0245">
      <w:pPr>
        <w:widowControl w:val="0"/>
        <w:spacing w:line="276" w:lineRule="auto"/>
        <w:jc w:val="both"/>
        <w:rPr>
          <w:rFonts w:ascii="Arial" w:eastAsia="Arial" w:hAnsi="Arial" w:cs="Arial"/>
          <w:sz w:val="22"/>
          <w:szCs w:val="22"/>
        </w:rPr>
      </w:pPr>
      <w:r>
        <w:rPr>
          <w:rFonts w:ascii="Arial" w:eastAsia="Arial" w:hAnsi="Arial" w:cs="Arial"/>
          <w:sz w:val="22"/>
          <w:szCs w:val="22"/>
        </w:rPr>
        <w:t>Promover la salud oral integral en las zonas rurales de Bogotá a través de la educación, prevención, y acceso a soluciones básicas como prótesis dentales adaptadas, fomentando la autogestión y las alianzas sin generar impacto fiscal.</w:t>
      </w:r>
    </w:p>
    <w:p w:rsidR="004B199D" w:rsidRDefault="004B199D">
      <w:pPr>
        <w:widowControl w:val="0"/>
        <w:spacing w:line="276" w:lineRule="auto"/>
        <w:jc w:val="both"/>
        <w:rPr>
          <w:rFonts w:ascii="Arial" w:eastAsia="Arial" w:hAnsi="Arial" w:cs="Arial"/>
          <w:sz w:val="22"/>
          <w:szCs w:val="22"/>
        </w:rPr>
      </w:pPr>
    </w:p>
    <w:p w:rsidR="004B199D" w:rsidRDefault="00AA0245">
      <w:pPr>
        <w:widowControl w:val="0"/>
        <w:spacing w:line="276" w:lineRule="auto"/>
        <w:jc w:val="both"/>
        <w:rPr>
          <w:rFonts w:ascii="Arial" w:eastAsia="Arial" w:hAnsi="Arial" w:cs="Arial"/>
          <w:b/>
          <w:sz w:val="22"/>
          <w:szCs w:val="22"/>
        </w:rPr>
      </w:pPr>
      <w:r>
        <w:rPr>
          <w:rFonts w:ascii="Arial" w:eastAsia="Arial" w:hAnsi="Arial" w:cs="Arial"/>
          <w:b/>
          <w:sz w:val="22"/>
          <w:szCs w:val="22"/>
        </w:rPr>
        <w:t>ANTECEDENTES</w:t>
      </w:r>
    </w:p>
    <w:p w:rsidR="004B199D" w:rsidRDefault="004B199D">
      <w:pPr>
        <w:widowControl w:val="0"/>
        <w:spacing w:line="276" w:lineRule="auto"/>
        <w:jc w:val="both"/>
        <w:rPr>
          <w:rFonts w:ascii="Arial" w:eastAsia="Arial" w:hAnsi="Arial" w:cs="Arial"/>
          <w:b/>
          <w:sz w:val="22"/>
          <w:szCs w:val="22"/>
        </w:rPr>
      </w:pPr>
    </w:p>
    <w:p w:rsidR="004B199D" w:rsidRDefault="00AA0245">
      <w:pPr>
        <w:widowControl w:val="0"/>
        <w:spacing w:line="276" w:lineRule="auto"/>
        <w:jc w:val="both"/>
        <w:rPr>
          <w:rFonts w:ascii="Arial" w:eastAsia="Arial" w:hAnsi="Arial" w:cs="Arial"/>
          <w:sz w:val="22"/>
          <w:szCs w:val="22"/>
        </w:rPr>
      </w:pPr>
      <w:r>
        <w:rPr>
          <w:rFonts w:ascii="Arial" w:eastAsia="Arial" w:hAnsi="Arial" w:cs="Arial"/>
          <w:sz w:val="22"/>
          <w:szCs w:val="22"/>
        </w:rPr>
        <w:t xml:space="preserve">El presente Proyecto de Acuerdo no ha sido tramitado en el Concejo de Bogotá </w:t>
      </w:r>
      <w:proofErr w:type="gramStart"/>
      <w:r>
        <w:rPr>
          <w:rFonts w:ascii="Arial" w:eastAsia="Arial" w:hAnsi="Arial" w:cs="Arial"/>
          <w:sz w:val="22"/>
          <w:szCs w:val="22"/>
        </w:rPr>
        <w:t>y</w:t>
      </w:r>
      <w:proofErr w:type="gramEnd"/>
      <w:r>
        <w:rPr>
          <w:rFonts w:ascii="Arial" w:eastAsia="Arial" w:hAnsi="Arial" w:cs="Arial"/>
          <w:sz w:val="22"/>
          <w:szCs w:val="22"/>
        </w:rPr>
        <w:t xml:space="preserve"> por ende, es la primera vez que se presenta la iniciativa al Concejo de Bogotá.</w:t>
      </w:r>
    </w:p>
    <w:p w:rsidR="004B199D" w:rsidRDefault="004B199D">
      <w:pPr>
        <w:pBdr>
          <w:top w:val="nil"/>
          <w:left w:val="nil"/>
          <w:bottom w:val="nil"/>
          <w:right w:val="nil"/>
          <w:between w:val="nil"/>
        </w:pBdr>
        <w:ind w:left="1004"/>
        <w:rPr>
          <w:rFonts w:ascii="Arial" w:eastAsia="Arial" w:hAnsi="Arial" w:cs="Arial"/>
          <w:sz w:val="22"/>
          <w:szCs w:val="22"/>
        </w:rPr>
      </w:pPr>
    </w:p>
    <w:p w:rsidR="004B199D" w:rsidRDefault="004B199D">
      <w:pPr>
        <w:pBdr>
          <w:top w:val="nil"/>
          <w:left w:val="nil"/>
          <w:bottom w:val="nil"/>
          <w:right w:val="nil"/>
          <w:between w:val="nil"/>
        </w:pBdr>
        <w:ind w:left="1004"/>
        <w:rPr>
          <w:rFonts w:ascii="Arial" w:eastAsia="Arial" w:hAnsi="Arial" w:cs="Arial"/>
          <w:sz w:val="22"/>
          <w:szCs w:val="22"/>
        </w:rPr>
      </w:pPr>
    </w:p>
    <w:p w:rsidR="004B199D" w:rsidRDefault="004B199D">
      <w:pPr>
        <w:pBdr>
          <w:top w:val="nil"/>
          <w:left w:val="nil"/>
          <w:bottom w:val="nil"/>
          <w:right w:val="nil"/>
          <w:between w:val="nil"/>
        </w:pBdr>
        <w:ind w:left="1004"/>
        <w:rPr>
          <w:rFonts w:ascii="Arial" w:eastAsia="Arial" w:hAnsi="Arial" w:cs="Arial"/>
          <w:sz w:val="22"/>
          <w:szCs w:val="22"/>
        </w:rPr>
      </w:pPr>
    </w:p>
    <w:p w:rsidR="004B199D" w:rsidRDefault="004B199D">
      <w:pPr>
        <w:pBdr>
          <w:top w:val="nil"/>
          <w:left w:val="nil"/>
          <w:bottom w:val="nil"/>
          <w:right w:val="nil"/>
          <w:between w:val="nil"/>
        </w:pBdr>
        <w:spacing w:line="276" w:lineRule="auto"/>
        <w:ind w:left="284"/>
        <w:rPr>
          <w:rFonts w:ascii="Arial" w:eastAsia="Arial" w:hAnsi="Arial" w:cs="Arial"/>
          <w:b/>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DEL PROYECTO DE ACUERDO PRESENTADO</w:t>
      </w:r>
      <w:r>
        <w:rPr>
          <w:rFonts w:ascii="Arial" w:eastAsia="Arial" w:hAnsi="Arial" w:cs="Arial"/>
          <w:sz w:val="22"/>
          <w:szCs w:val="22"/>
          <w:vertAlign w:val="superscript"/>
        </w:rPr>
        <w:footnoteReference w:id="1"/>
      </w:r>
    </w:p>
    <w:p w:rsidR="004B199D" w:rsidRDefault="004B199D">
      <w:pPr>
        <w:pBdr>
          <w:top w:val="nil"/>
          <w:left w:val="nil"/>
          <w:bottom w:val="nil"/>
          <w:right w:val="nil"/>
          <w:between w:val="nil"/>
        </w:pBdr>
        <w:spacing w:line="276" w:lineRule="auto"/>
        <w:rPr>
          <w:rFonts w:ascii="Arial" w:eastAsia="Arial" w:hAnsi="Arial" w:cs="Arial"/>
          <w:b/>
          <w:sz w:val="22"/>
          <w:szCs w:val="22"/>
        </w:rPr>
      </w:pPr>
    </w:p>
    <w:p w:rsidR="004B199D" w:rsidRDefault="00AA0245">
      <w:pPr>
        <w:pBdr>
          <w:top w:val="nil"/>
          <w:left w:val="nil"/>
          <w:bottom w:val="nil"/>
          <w:right w:val="nil"/>
          <w:between w:val="nil"/>
        </w:pBdr>
        <w:spacing w:after="160"/>
        <w:jc w:val="both"/>
        <w:rPr>
          <w:rFonts w:ascii="Arial" w:eastAsia="Arial" w:hAnsi="Arial" w:cs="Arial"/>
          <w:sz w:val="22"/>
          <w:szCs w:val="22"/>
        </w:rPr>
      </w:pPr>
      <w:r>
        <w:rPr>
          <w:rFonts w:ascii="Arial" w:eastAsia="Arial" w:hAnsi="Arial" w:cs="Arial"/>
          <w:sz w:val="22"/>
          <w:szCs w:val="22"/>
        </w:rPr>
        <w:t>El autor del proyecto en la justificación y análisis de conveniencia de la iniciativa del Proyecto de Acuerdo radicado ante esta Corporación establece los siguientes argumentos: </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De acuerdo con el autor, la salud oral es una parte integral del bienestar general y está estrechamente relacionada con la calidad de vida de las personas. Sin embargo, en las zonas rurales de Bogotá, el acceso a servicios de salud oral es limitado debido a barreras geográficas, económicas y de disponibilidad de recursos. Esto genera altos índices de enfermedades bucales no tratadas, como caries, periodontitis, pérdida dental y problemas de autoestima asociados.</w:t>
      </w:r>
    </w:p>
    <w:p w:rsidR="004B199D" w:rsidRDefault="004B199D">
      <w:pPr>
        <w:pBdr>
          <w:top w:val="nil"/>
          <w:left w:val="nil"/>
          <w:bottom w:val="nil"/>
          <w:right w:val="nil"/>
          <w:between w:val="nil"/>
        </w:pBdr>
        <w:jc w:val="both"/>
        <w:rPr>
          <w:rFonts w:ascii="Arial" w:eastAsia="Arial" w:hAnsi="Arial" w:cs="Arial"/>
          <w:sz w:val="22"/>
          <w:szCs w:val="22"/>
        </w:rPr>
      </w:pP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Identificación de la necesidad</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lastRenderedPageBreak/>
        <w:t>Los estudios nacionales de salud oral muestran que la prevalencia de caries dental en poblaciones rurales es considerablemente mayor que en zonas urbanas. Además, muchos habitantes de estas áreas carecen de acceso a servicios básicos como limpieza dental, tratamientos restaurativos o prótesis, debido a costos elevados o falta de infraestructura.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El problema se agrava en Bogotá, donde las zonas rurales enfrentan:</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Baja cobertura de servicios odontológicos.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Falta de educación preventiva en salud oral.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Recursos económicos limitados para costear tratamientos y prótesis</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 xml:space="preserve">Impacto social y económico </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La falta de atención en salud oral tiene repercusiones directas en la calidad de vida: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Problemas nutricionales derivados de la pérdida dental.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Aislamiento social y baja autoestima debido a problemas estéticos.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Aumento de enfermedades sistémicas como diabetes y enfermedades cardiovasculares, asociadas a infecciones bucales.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En el plano económico, la inversión en prevención y cuidado básico reduce los costos de atención secundaria asociados a complicaciones mayores.</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Potencial de “Sonrisa Rural”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El programa “Sonrisa Rural” tiene un enfoque innovador y sostenible basado en:</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Prevención: Evitar que los problemas bucales evolucionen a situaciones críticas, promoviendo hábitos saludables desde la comunidad.</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Autogestión: Aprovechar recursos locales y alianzas estratégicas para garantizar la continuidad del programa.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 xml:space="preserve">Alianzas multisectoriales: Involucrar a universidades, </w:t>
      </w:r>
      <w:proofErr w:type="spellStart"/>
      <w:r>
        <w:rPr>
          <w:rFonts w:ascii="Arial" w:eastAsia="Arial" w:hAnsi="Arial" w:cs="Arial"/>
          <w:sz w:val="22"/>
          <w:szCs w:val="22"/>
        </w:rPr>
        <w:t>ONGs</w:t>
      </w:r>
      <w:proofErr w:type="spellEnd"/>
      <w:r>
        <w:rPr>
          <w:rFonts w:ascii="Arial" w:eastAsia="Arial" w:hAnsi="Arial" w:cs="Arial"/>
          <w:sz w:val="22"/>
          <w:szCs w:val="22"/>
        </w:rPr>
        <w:t>, y empresas del sector privado, logrando un impacto conjunto sin generar carga fiscal adicional.</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Contribución a políticas públicas vigentes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El programa está alineado con los objetivos de desarrollo sostenible (ODS), particularmente el ODS 3: "Garantizar una vida sana y promover el bienestar para todos".  Además, contribuye al cumplimiento de los planes de desarrollo de Bogotá en materia de equidad social, acceso a salud y fortalecimiento comunitario.</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Innovación del Banco de Prótesis Dentales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Uno de los elementos diferenciales del programa es la implementación del Banco de Prótesis Dentales, que facilita el acceso a este tipo de soluciones mediante la reutilización, adaptación y fabricación accesible de prótesis. Este enfoque permite garantizar dignidad y funcionalidad a las personas que lo necesitan, sin altos costos.</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 xml:space="preserve">Sostenibilidad y </w:t>
      </w:r>
      <w:proofErr w:type="spellStart"/>
      <w:r>
        <w:rPr>
          <w:rFonts w:ascii="Arial" w:eastAsia="Arial" w:hAnsi="Arial" w:cs="Arial"/>
          <w:b/>
          <w:sz w:val="22"/>
          <w:szCs w:val="22"/>
        </w:rPr>
        <w:t>replicabilidad</w:t>
      </w:r>
      <w:proofErr w:type="spellEnd"/>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El programa es sostenible porque se apoya en:</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Participación comunitaria activa.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Apalancamiento de recursos existentes mediante alianzas estratégicas.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Metodologías replicables en otras zonas del país con condiciones similares.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El Acuerdo de Ciudad “Sonrisa Rural” buscar ser una solución oportuna y necesaria para cerrar brechas en salud oral en las zonas rurales de Bogotá. Su enfoque participativo, preventivo y sostenible busca restaurar la salud y la dignidad de las comunidades más vulnerables, generando un impacto tangible en su calidad de vida.</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lastRenderedPageBreak/>
        <w:t>Estrategias del programa "Sonrisa Rural":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1.</w:t>
      </w:r>
      <w:r>
        <w:rPr>
          <w:rFonts w:ascii="Arial" w:eastAsia="Arial" w:hAnsi="Arial" w:cs="Arial"/>
          <w:sz w:val="22"/>
          <w:szCs w:val="22"/>
        </w:rPr>
        <w:tab/>
      </w:r>
      <w:r>
        <w:rPr>
          <w:rFonts w:ascii="Arial" w:eastAsia="Arial" w:hAnsi="Arial" w:cs="Arial"/>
          <w:b/>
          <w:sz w:val="22"/>
          <w:szCs w:val="22"/>
        </w:rPr>
        <w:t>Educación para la Prevención - “Cuidando la Sonrisa”: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Formación de líderes comunitarios como Guardianes de la Sonrisa Rural, capacitados por universidades con programas de odontología.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Charlas en escuelas rurales, centros comunitarios y emisoras locales sobre higiene oral básica, dietas saludables y prevención de enfermedades bucales.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2</w:t>
      </w:r>
      <w:r>
        <w:rPr>
          <w:rFonts w:ascii="Arial" w:eastAsia="Arial" w:hAnsi="Arial" w:cs="Arial"/>
          <w:sz w:val="22"/>
          <w:szCs w:val="22"/>
        </w:rPr>
        <w:t>.</w:t>
      </w:r>
      <w:r>
        <w:rPr>
          <w:rFonts w:ascii="Arial" w:eastAsia="Arial" w:hAnsi="Arial" w:cs="Arial"/>
          <w:b/>
          <w:sz w:val="22"/>
          <w:szCs w:val="22"/>
        </w:rPr>
        <w:tab/>
        <w:t>Alianzas con Impacto Social: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 xml:space="preserve">Trabajo conjunto con universidades que tengan programas de odontología, </w:t>
      </w:r>
      <w:proofErr w:type="spellStart"/>
      <w:r>
        <w:rPr>
          <w:rFonts w:ascii="Arial" w:eastAsia="Arial" w:hAnsi="Arial" w:cs="Arial"/>
          <w:sz w:val="22"/>
          <w:szCs w:val="22"/>
        </w:rPr>
        <w:t>ONGs</w:t>
      </w:r>
      <w:proofErr w:type="spellEnd"/>
      <w:r>
        <w:rPr>
          <w:rFonts w:ascii="Arial" w:eastAsia="Arial" w:hAnsi="Arial" w:cs="Arial"/>
          <w:sz w:val="22"/>
          <w:szCs w:val="22"/>
        </w:rPr>
        <w:t xml:space="preserve"> de salud y fundaciones que aporten profesionales y materiales de forma voluntaria.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Acuerdo con empresas del sector privado para la donación de insumos odontológicos y equipos, gestionados por un banco centralizado de recursos.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3.</w:t>
      </w:r>
      <w:r>
        <w:rPr>
          <w:rFonts w:ascii="Arial" w:eastAsia="Arial" w:hAnsi="Arial" w:cs="Arial"/>
          <w:sz w:val="22"/>
          <w:szCs w:val="22"/>
        </w:rPr>
        <w:tab/>
      </w:r>
      <w:r>
        <w:rPr>
          <w:rFonts w:ascii="Arial" w:eastAsia="Arial" w:hAnsi="Arial" w:cs="Arial"/>
          <w:b/>
          <w:sz w:val="22"/>
          <w:szCs w:val="22"/>
        </w:rPr>
        <w:t>Banco de Sonrisas (Prótesis y Reparaciones):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Creación del Banco de Prótesis Sonrisa Rural, donde se recibirán donaciones de prótesis reutilizables que serán ajustadas o confeccionadas por estudiantes de odontología en sus prácticas académicas.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Talleres en cada comunidad para la fabricación de prótesis removibles a bajo costo usando materiales sencillos y métodos innovadores.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4.</w:t>
      </w:r>
      <w:r>
        <w:rPr>
          <w:rFonts w:ascii="Arial" w:eastAsia="Arial" w:hAnsi="Arial" w:cs="Arial"/>
          <w:sz w:val="22"/>
          <w:szCs w:val="22"/>
        </w:rPr>
        <w:tab/>
      </w:r>
      <w:r>
        <w:rPr>
          <w:rFonts w:ascii="Arial" w:eastAsia="Arial" w:hAnsi="Arial" w:cs="Arial"/>
          <w:b/>
          <w:sz w:val="22"/>
          <w:szCs w:val="22"/>
        </w:rPr>
        <w:t>Jornadas Móviles de Atención Oral – "Sonrisa al Camino":</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Utilización de unidades odontológicas móviles disponibles de hospitales o entidades privadas que ofrezcan chequeos, limpiezas y adaptación de prótesis en visitas periódicas.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Estas jornadas serán lideradas por odontólogos voluntarios y los Guardianes de la Sonrisa Rural.</w:t>
      </w:r>
    </w:p>
    <w:p w:rsidR="004B199D" w:rsidRDefault="00AA0245">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5.</w:t>
      </w:r>
      <w:r>
        <w:rPr>
          <w:rFonts w:ascii="Arial" w:eastAsia="Arial" w:hAnsi="Arial" w:cs="Arial"/>
          <w:b/>
          <w:sz w:val="22"/>
          <w:szCs w:val="22"/>
        </w:rPr>
        <w:tab/>
        <w:t>Reconocimiento y Autogestión:</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Creación de un sistema simbólico en el que las comunidades beneficiadas devuelvan el favor a su entorno, ya sea mediante actividades de cuidado ambiental, cultivos comunitarios o trabajos comunales que fortalezcan la cohesión social.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Reconocimiento público a las organizaciones y empresas que contribuyan activamente al programa.</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Impacto esperado:</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Mejora sustancial en la calidad de vida de las comunidades rurales al recuperar su sonrisa y salud oral.</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Sensibilización y educación comunitaria sobre la importancia de la prevención.</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w:t>
      </w:r>
      <w:r>
        <w:rPr>
          <w:rFonts w:ascii="Arial" w:eastAsia="Arial" w:hAnsi="Arial" w:cs="Arial"/>
          <w:sz w:val="22"/>
          <w:szCs w:val="22"/>
        </w:rPr>
        <w:tab/>
        <w:t>Un modelo replicable y sostenible basado en la solidaridad y las alianzas estratégicas.</w:t>
      </w:r>
    </w:p>
    <w:p w:rsidR="004B199D" w:rsidRDefault="00AA0245">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Este acuerdo aprovecharía recursos disponibles y fomentaría una red de apoyo entre sectores para sostener un cambio real y visible en las zonas rurales de Bogotá.</w:t>
      </w:r>
    </w:p>
    <w:p w:rsidR="004B199D" w:rsidRDefault="004B199D">
      <w:pPr>
        <w:pBdr>
          <w:top w:val="nil"/>
          <w:left w:val="nil"/>
          <w:bottom w:val="nil"/>
          <w:right w:val="nil"/>
          <w:between w:val="nil"/>
        </w:pBdr>
        <w:jc w:val="both"/>
        <w:rPr>
          <w:rFonts w:ascii="Arial" w:eastAsia="Arial" w:hAnsi="Arial" w:cs="Arial"/>
          <w:sz w:val="22"/>
          <w:szCs w:val="22"/>
        </w:rPr>
      </w:pPr>
    </w:p>
    <w:p w:rsidR="004B199D" w:rsidRDefault="004B199D">
      <w:pPr>
        <w:pBdr>
          <w:top w:val="nil"/>
          <w:left w:val="nil"/>
          <w:bottom w:val="nil"/>
          <w:right w:val="nil"/>
          <w:between w:val="nil"/>
        </w:pBdr>
        <w:jc w:val="both"/>
        <w:rPr>
          <w:rFonts w:ascii="Arial" w:eastAsia="Arial" w:hAnsi="Arial" w:cs="Arial"/>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DE LA PONENCIA</w:t>
      </w:r>
    </w:p>
    <w:p w:rsidR="004B199D" w:rsidRDefault="004B199D">
      <w:pPr>
        <w:pBdr>
          <w:top w:val="nil"/>
          <w:left w:val="nil"/>
          <w:bottom w:val="nil"/>
          <w:right w:val="nil"/>
          <w:between w:val="nil"/>
        </w:pBdr>
        <w:spacing w:line="276" w:lineRule="auto"/>
        <w:jc w:val="center"/>
        <w:rPr>
          <w:rFonts w:ascii="Arial" w:eastAsia="Arial" w:hAnsi="Arial" w:cs="Arial"/>
          <w:b/>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 xml:space="preserve">De acuerdo con la importancia de este tema para la ciudad, es menester iniciar indicando que la salud bucal u oral es aquella definida por la Organización Mundial de la Salud –OMS- </w:t>
      </w:r>
      <w:r>
        <w:rPr>
          <w:rFonts w:ascii="Arial" w:eastAsia="Arial" w:hAnsi="Arial" w:cs="Arial"/>
          <w:sz w:val="22"/>
          <w:szCs w:val="22"/>
        </w:rPr>
        <w:lastRenderedPageBreak/>
        <w:t>como un elemento esencial y del bienestar, que impacta significativamente en la calidad de vida de las personas.</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 xml:space="preserve">Según el ABECÉ del </w:t>
      </w:r>
      <w:proofErr w:type="spellStart"/>
      <w:proofErr w:type="gramStart"/>
      <w:r>
        <w:rPr>
          <w:rFonts w:ascii="Arial" w:eastAsia="Arial" w:hAnsi="Arial" w:cs="Arial"/>
          <w:sz w:val="22"/>
          <w:szCs w:val="22"/>
        </w:rPr>
        <w:t>Minsalud</w:t>
      </w:r>
      <w:proofErr w:type="spellEnd"/>
      <w:r>
        <w:rPr>
          <w:rFonts w:ascii="Arial" w:eastAsia="Arial" w:hAnsi="Arial" w:cs="Arial"/>
          <w:sz w:val="22"/>
          <w:szCs w:val="22"/>
        </w:rPr>
        <w:t xml:space="preserve">  sobre</w:t>
      </w:r>
      <w:proofErr w:type="gramEnd"/>
      <w:r>
        <w:rPr>
          <w:rFonts w:ascii="Arial" w:eastAsia="Arial" w:hAnsi="Arial" w:cs="Arial"/>
          <w:sz w:val="22"/>
          <w:szCs w:val="22"/>
        </w:rPr>
        <w:t xml:space="preserve"> el IV Estudio Nacional de Salud Bucal “Para saber cómo estamos y saber qué hacemos”, se indica que la a salud bucal es uno de los aspectos que afectan las percepciones sobre calidad de vida. La Asociación Dental Canadiense señala que la salud bucal “es un estado de los tejidos de la boca y de las estructuras relacionadas que contribuye positivamente al bienestar físico, mental y social, al bienestar y disfrute de las posibilidades de la vida, permitiendo al individuo hablar, comer y socializar sin obstáculos por el dolor, incomodidad o vergüenza”.</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 xml:space="preserve">En ese sentido, una higiene adecuada y una salud bucal, va más allá de tener una sonrisa perfecta o unos dientes blancos, ya que no solo es una cuestión meramente estética, sino </w:t>
      </w:r>
      <w:proofErr w:type="gramStart"/>
      <w:r>
        <w:rPr>
          <w:rFonts w:ascii="Arial" w:eastAsia="Arial" w:hAnsi="Arial" w:cs="Arial"/>
          <w:sz w:val="22"/>
          <w:szCs w:val="22"/>
        </w:rPr>
        <w:t>que</w:t>
      </w:r>
      <w:proofErr w:type="gramEnd"/>
      <w:r>
        <w:rPr>
          <w:rFonts w:ascii="Arial" w:eastAsia="Arial" w:hAnsi="Arial" w:cs="Arial"/>
          <w:sz w:val="22"/>
          <w:szCs w:val="22"/>
        </w:rPr>
        <w:t xml:space="preserve"> por el contrario, es un conjunto de elementos que se encaminan a un funcionamiento correcto de todas las funciones y estructuras que hacen parte de la boca.</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Ahora bien, es loable y de resaltar la iniciativa presentada ante este cabildo, quisiéramos hacer hincapié en las dificultades que tienen las personas con discapacidad para acceder a los servicios de salud bucal e higiene oral.</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Las personas con discapacidad requieren ser apoyadas para realizar la higiene bucal. La ayuda dependerá del grado de discapacidad, de la edad, sus capacidades individuales, madurez mental, emotiva y psicomotora.</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 xml:space="preserve">Así mismo, las personas con discapacidad pueden tener dificultades para la higiene oral por diversos factores, como problemas de masticación, movilidad, o trastornos del sistema nervioso central. </w:t>
      </w:r>
    </w:p>
    <w:p w:rsidR="004B199D" w:rsidRDefault="004B199D">
      <w:pPr>
        <w:jc w:val="both"/>
        <w:rPr>
          <w:rFonts w:ascii="Arial" w:eastAsia="Arial" w:hAnsi="Arial" w:cs="Arial"/>
          <w:sz w:val="22"/>
          <w:szCs w:val="22"/>
        </w:rPr>
      </w:pP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Problemas de masticación Músculos de masticación rígidos o flácidos, Problemas de deglución, Babeo, Arcadas. </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Problemas de movilidad Limitación en la movilidad del hombro, Dificultad para agarrar el cepillo. </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Trastornos del sistema nervioso central Reflujo gastroesofágico, Convulsiones. </w:t>
      </w:r>
    </w:p>
    <w:p w:rsidR="004B199D" w:rsidRDefault="004B199D">
      <w:pPr>
        <w:jc w:val="both"/>
        <w:rPr>
          <w:rFonts w:ascii="Arial" w:eastAsia="Arial" w:hAnsi="Arial" w:cs="Arial"/>
          <w:b/>
          <w:sz w:val="22"/>
          <w:szCs w:val="22"/>
        </w:rPr>
      </w:pPr>
    </w:p>
    <w:p w:rsidR="004B199D" w:rsidRDefault="00AA0245">
      <w:pPr>
        <w:jc w:val="both"/>
        <w:rPr>
          <w:rFonts w:ascii="Arial" w:eastAsia="Arial" w:hAnsi="Arial" w:cs="Arial"/>
          <w:b/>
          <w:sz w:val="22"/>
          <w:szCs w:val="22"/>
        </w:rPr>
      </w:pPr>
      <w:r>
        <w:rPr>
          <w:rFonts w:ascii="Arial" w:eastAsia="Arial" w:hAnsi="Arial" w:cs="Arial"/>
          <w:b/>
          <w:sz w:val="22"/>
          <w:szCs w:val="22"/>
        </w:rPr>
        <w:t xml:space="preserve">Otros factores </w:t>
      </w:r>
    </w:p>
    <w:p w:rsidR="004B199D" w:rsidRDefault="004B199D">
      <w:pPr>
        <w:jc w:val="both"/>
        <w:rPr>
          <w:rFonts w:ascii="Arial" w:eastAsia="Arial" w:hAnsi="Arial" w:cs="Arial"/>
          <w:sz w:val="22"/>
          <w:szCs w:val="22"/>
        </w:rPr>
      </w:pP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Malformaciones bucales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Hábitos bucales perjudiciales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Movimientos incontrolados del cuerpo</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Discapacidades visuales, auditivas o sordera</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Riesgos para la salud bucal </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Caries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Gingivitis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lastRenderedPageBreak/>
        <w:t>Estomatitis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Problemas de mordida</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Fracturas dentales</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Úlceras y lesiones en la mucosa oral</w:t>
      </w:r>
    </w:p>
    <w:p w:rsidR="004B199D" w:rsidRDefault="00AA0245">
      <w:pPr>
        <w:numPr>
          <w:ilvl w:val="0"/>
          <w:numId w:val="3"/>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Conductas problemáticas como morderse los labios o la lengua.</w:t>
      </w:r>
    </w:p>
    <w:p w:rsidR="004B199D" w:rsidRDefault="004B199D">
      <w:pPr>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sz w:val="22"/>
          <w:szCs w:val="22"/>
        </w:rPr>
        <w:t>Aunado a lo anterior, se han identificado por cuidadores de personas con discapacidad que existe una falencia respecto a los profesionales que atienden a las personas con discapacidad ya sea de manera privada o por intermedio del servicio de salud público; por eso, también es necesario que este tipo de iniciativas impacten a esa población que está en la ruralidad pero que además cuenta con una connotación distinta y que se le debe garantizar su acceso a este tipo de programas con los ajustes razonables requeridos.</w:t>
      </w:r>
    </w:p>
    <w:p w:rsidR="004B199D" w:rsidRDefault="004B199D">
      <w:pPr>
        <w:jc w:val="both"/>
        <w:rPr>
          <w:rFonts w:ascii="Arial" w:eastAsia="Arial" w:hAnsi="Arial" w:cs="Arial"/>
          <w:sz w:val="22"/>
          <w:szCs w:val="22"/>
        </w:rPr>
      </w:pPr>
    </w:p>
    <w:p w:rsidR="004B199D" w:rsidRDefault="004B199D">
      <w:pPr>
        <w:jc w:val="both"/>
        <w:rPr>
          <w:rFonts w:ascii="Arial" w:eastAsia="Arial" w:hAnsi="Arial" w:cs="Arial"/>
          <w:sz w:val="22"/>
          <w:szCs w:val="22"/>
        </w:rPr>
      </w:pPr>
    </w:p>
    <w:p w:rsidR="004B199D" w:rsidRDefault="004B199D">
      <w:pPr>
        <w:jc w:val="both"/>
        <w:rPr>
          <w:rFonts w:ascii="Arial" w:eastAsia="Arial" w:hAnsi="Arial" w:cs="Arial"/>
          <w:sz w:val="22"/>
          <w:szCs w:val="22"/>
        </w:rPr>
      </w:pPr>
    </w:p>
    <w:p w:rsidR="004B199D" w:rsidRDefault="00AA0245">
      <w:pPr>
        <w:numPr>
          <w:ilvl w:val="0"/>
          <w:numId w:val="2"/>
        </w:numPr>
        <w:pBdr>
          <w:top w:val="nil"/>
          <w:left w:val="nil"/>
          <w:bottom w:val="nil"/>
          <w:right w:val="nil"/>
          <w:between w:val="nil"/>
        </w:pBdr>
        <w:ind w:left="3951"/>
        <w:jc w:val="both"/>
        <w:rPr>
          <w:rFonts w:ascii="Arial" w:eastAsia="Arial" w:hAnsi="Arial" w:cs="Arial"/>
          <w:b/>
          <w:sz w:val="22"/>
          <w:szCs w:val="22"/>
        </w:rPr>
      </w:pPr>
      <w:r>
        <w:rPr>
          <w:rFonts w:ascii="Arial" w:eastAsia="Arial" w:hAnsi="Arial" w:cs="Arial"/>
          <w:b/>
          <w:sz w:val="22"/>
          <w:szCs w:val="22"/>
        </w:rPr>
        <w:t xml:space="preserve">FUNDAMENTO LEGAL </w:t>
      </w:r>
    </w:p>
    <w:p w:rsidR="004B199D" w:rsidRDefault="00AA0245">
      <w:pPr>
        <w:pBdr>
          <w:top w:val="nil"/>
          <w:left w:val="nil"/>
          <w:bottom w:val="nil"/>
          <w:right w:val="nil"/>
          <w:between w:val="nil"/>
        </w:pBdr>
        <w:spacing w:before="240"/>
        <w:jc w:val="both"/>
        <w:rPr>
          <w:rFonts w:ascii="Arial" w:eastAsia="Arial" w:hAnsi="Arial" w:cs="Arial"/>
          <w:sz w:val="22"/>
          <w:szCs w:val="22"/>
        </w:rPr>
      </w:pPr>
      <w:r>
        <w:rPr>
          <w:rFonts w:ascii="Arial" w:eastAsia="Arial" w:hAnsi="Arial" w:cs="Arial"/>
          <w:sz w:val="22"/>
          <w:szCs w:val="22"/>
        </w:rPr>
        <w:t>El autor de la iniciativa referencia de forma resumida las normas jurídicas que sustentan esta iniciativa, así:</w:t>
      </w:r>
    </w:p>
    <w:p w:rsidR="004B199D" w:rsidRDefault="00AA0245">
      <w:pPr>
        <w:pBdr>
          <w:top w:val="nil"/>
          <w:left w:val="nil"/>
          <w:bottom w:val="nil"/>
          <w:right w:val="nil"/>
          <w:between w:val="nil"/>
        </w:pBdr>
        <w:spacing w:before="240"/>
        <w:jc w:val="both"/>
        <w:rPr>
          <w:rFonts w:ascii="Arial" w:eastAsia="Arial" w:hAnsi="Arial" w:cs="Arial"/>
          <w:sz w:val="22"/>
          <w:szCs w:val="22"/>
        </w:rPr>
      </w:pPr>
      <w:r>
        <w:rPr>
          <w:rFonts w:ascii="Arial" w:eastAsia="Arial" w:hAnsi="Arial" w:cs="Arial"/>
          <w:b/>
        </w:rPr>
        <w:t xml:space="preserve">MARCO NORMATIVO </w:t>
      </w:r>
    </w:p>
    <w:p w:rsidR="004B199D" w:rsidRDefault="00AA0245">
      <w:pPr>
        <w:spacing w:before="280" w:after="280"/>
        <w:jc w:val="both"/>
        <w:rPr>
          <w:rFonts w:ascii="Arial" w:eastAsia="Arial" w:hAnsi="Arial" w:cs="Arial"/>
        </w:rPr>
      </w:pPr>
      <w:r>
        <w:rPr>
          <w:rFonts w:ascii="Arial" w:eastAsia="Arial" w:hAnsi="Arial" w:cs="Arial"/>
          <w:b/>
        </w:rPr>
        <w:t>La Constitución Política de Colombia de 1991</w:t>
      </w:r>
      <w:r>
        <w:rPr>
          <w:rFonts w:ascii="Arial" w:eastAsia="Arial" w:hAnsi="Arial" w:cs="Arial"/>
        </w:rPr>
        <w:t xml:space="preserve">, define a Colombia como un Estado Social de Derecho organizado en forma de Republica Unitaria, Descentralizada, con autonomía de sus entidades territoriales, democrática, participativa y pluralista, fundada en el respeto de la dignidad humana, en el trabajo y la solidaridad de las personas que la integran y en la prevalencia del interés general. </w:t>
      </w:r>
    </w:p>
    <w:p w:rsidR="004B199D" w:rsidRDefault="00AA0245">
      <w:pPr>
        <w:spacing w:before="280" w:after="280"/>
        <w:jc w:val="both"/>
        <w:rPr>
          <w:rFonts w:ascii="Arial" w:eastAsia="Arial" w:hAnsi="Arial" w:cs="Arial"/>
        </w:rPr>
      </w:pPr>
      <w:r>
        <w:rPr>
          <w:rFonts w:ascii="Arial" w:eastAsia="Arial" w:hAnsi="Arial" w:cs="Arial"/>
          <w:b/>
        </w:rPr>
        <w:t>Las Leyes 10 de 1990, 100 de 1993, 1122 de 2007 y 715 de 2001</w:t>
      </w:r>
      <w:r>
        <w:rPr>
          <w:rFonts w:ascii="Arial" w:eastAsia="Arial" w:hAnsi="Arial" w:cs="Arial"/>
        </w:rPr>
        <w:t xml:space="preserve">, desarrollan los fundamentos que rigen el Sistema General de Seguridad Social en Salud y determinan su dirección, organización y funcionamiento, normas administrativas, financieras, de control y las obligaciones que se derivan de su aplicación bajo los fundamentos de equidad, obligatoriedad, protección integral, libre escogencia, autonomía de las instituciones, descentralización administrativa, participación social, concertación y calidad. </w:t>
      </w:r>
    </w:p>
    <w:p w:rsidR="004B199D" w:rsidRDefault="00AA0245">
      <w:pPr>
        <w:spacing w:before="280" w:after="280"/>
        <w:jc w:val="both"/>
        <w:rPr>
          <w:rFonts w:ascii="Arial" w:eastAsia="Arial" w:hAnsi="Arial" w:cs="Arial"/>
        </w:rPr>
      </w:pPr>
      <w:r>
        <w:rPr>
          <w:rFonts w:ascii="Arial" w:eastAsia="Arial" w:hAnsi="Arial" w:cs="Arial"/>
          <w:b/>
        </w:rPr>
        <w:t>El Decreto 3039 del 10 de agosto de 2007</w:t>
      </w:r>
      <w:r>
        <w:rPr>
          <w:rFonts w:ascii="Arial" w:eastAsia="Arial" w:hAnsi="Arial" w:cs="Arial"/>
        </w:rPr>
        <w:t xml:space="preserve">,  adopta el Plan Nacional de Salud </w:t>
      </w:r>
      <w:proofErr w:type="spellStart"/>
      <w:r>
        <w:rPr>
          <w:rFonts w:ascii="Arial" w:eastAsia="Arial" w:hAnsi="Arial" w:cs="Arial"/>
        </w:rPr>
        <w:t>Publica</w:t>
      </w:r>
      <w:proofErr w:type="spellEnd"/>
      <w:r>
        <w:rPr>
          <w:rFonts w:ascii="Arial" w:eastAsia="Arial" w:hAnsi="Arial" w:cs="Arial"/>
        </w:rPr>
        <w:t xml:space="preserve"> para el Cuatrienio 2007 – 2010 que será́ de estricto cumplimiento, en el ámbito de sus competencias y obligaciones por parte de la Nación, las entidades departamentales, distrital es y municipales de salud, las entidades promotoras de </w:t>
      </w:r>
      <w:r>
        <w:rPr>
          <w:rFonts w:ascii="Arial" w:eastAsia="Arial" w:hAnsi="Arial" w:cs="Arial"/>
        </w:rPr>
        <w:lastRenderedPageBreak/>
        <w:t xml:space="preserve">salud de los Regímenes Contributivo y Subsidiado, las entidades obligadas a compensar, las entidades responsables de los Regímenes Especiales y de Excepción y los Prestadores de Servicios de Salud. Este Decreto estable- </w:t>
      </w:r>
      <w:proofErr w:type="spellStart"/>
      <w:r>
        <w:rPr>
          <w:rFonts w:ascii="Arial" w:eastAsia="Arial" w:hAnsi="Arial" w:cs="Arial"/>
        </w:rPr>
        <w:t>cio</w:t>
      </w:r>
      <w:proofErr w:type="spellEnd"/>
      <w:r>
        <w:rPr>
          <w:rFonts w:ascii="Arial" w:eastAsia="Arial" w:hAnsi="Arial" w:cs="Arial"/>
        </w:rPr>
        <w:t xml:space="preserve">́ la Salud Oral como la tercera prioridad nacional o en salud. Allí́ se consignan las metas nacionales y las estrategias para mejorar la salud oral, en cuanto a promoción de salud, prevención de riesgos, recuperación de la salud y vigilancia en salud. </w:t>
      </w:r>
    </w:p>
    <w:p w:rsidR="004B199D" w:rsidRDefault="00AA0245">
      <w:pPr>
        <w:spacing w:before="280" w:after="280"/>
        <w:jc w:val="both"/>
        <w:rPr>
          <w:rFonts w:ascii="Arial" w:eastAsia="Arial" w:hAnsi="Arial" w:cs="Arial"/>
        </w:rPr>
      </w:pPr>
      <w:r>
        <w:rPr>
          <w:rFonts w:ascii="Arial" w:eastAsia="Arial" w:hAnsi="Arial" w:cs="Arial"/>
          <w:b/>
        </w:rPr>
        <w:t>La Resolución 412 de febrero 25 de 2000,</w:t>
      </w:r>
      <w:r>
        <w:rPr>
          <w:rFonts w:ascii="Arial" w:eastAsia="Arial" w:hAnsi="Arial" w:cs="Arial"/>
        </w:rPr>
        <w:t xml:space="preserve"> estableció́ las actividades, procedimientos e intervenciones de demanda inducida de obliga- torio cumplimiento y se adoptaron las normas técnicas y guías de atención, para el desarrollo de las acciones de protección </w:t>
      </w:r>
      <w:proofErr w:type="spellStart"/>
      <w:r>
        <w:rPr>
          <w:rFonts w:ascii="Arial" w:eastAsia="Arial" w:hAnsi="Arial" w:cs="Arial"/>
        </w:rPr>
        <w:t>especifica</w:t>
      </w:r>
      <w:proofErr w:type="spellEnd"/>
      <w:r>
        <w:rPr>
          <w:rFonts w:ascii="Arial" w:eastAsia="Arial" w:hAnsi="Arial" w:cs="Arial"/>
        </w:rPr>
        <w:t xml:space="preserve"> y detección temprana, así́ como para la atención de las enfermedades de interés en salud </w:t>
      </w:r>
      <w:proofErr w:type="spellStart"/>
      <w:r>
        <w:rPr>
          <w:rFonts w:ascii="Arial" w:eastAsia="Arial" w:hAnsi="Arial" w:cs="Arial"/>
        </w:rPr>
        <w:t>publica</w:t>
      </w:r>
      <w:proofErr w:type="spellEnd"/>
      <w:r>
        <w:rPr>
          <w:rFonts w:ascii="Arial" w:eastAsia="Arial" w:hAnsi="Arial" w:cs="Arial"/>
        </w:rPr>
        <w:t xml:space="preserve">. En esta Norma Técnica se incluyeron, para la atención preventiva en salud bucal, las siguientes actividades: control y remoción de placa bacteriana, aplicación de flúor, aplicación de sellantes de </w:t>
      </w:r>
      <w:proofErr w:type="spellStart"/>
      <w:r>
        <w:rPr>
          <w:rFonts w:ascii="Arial" w:eastAsia="Arial" w:hAnsi="Arial" w:cs="Arial"/>
        </w:rPr>
        <w:t>fosetas</w:t>
      </w:r>
      <w:proofErr w:type="spellEnd"/>
      <w:r>
        <w:rPr>
          <w:rFonts w:ascii="Arial" w:eastAsia="Arial" w:hAnsi="Arial" w:cs="Arial"/>
        </w:rPr>
        <w:t xml:space="preserve"> y fisuras; y el </w:t>
      </w:r>
      <w:proofErr w:type="spellStart"/>
      <w:r>
        <w:rPr>
          <w:rFonts w:ascii="Arial" w:eastAsia="Arial" w:hAnsi="Arial" w:cs="Arial"/>
        </w:rPr>
        <w:t>detartraje</w:t>
      </w:r>
      <w:proofErr w:type="spellEnd"/>
      <w:r>
        <w:rPr>
          <w:rFonts w:ascii="Arial" w:eastAsia="Arial" w:hAnsi="Arial" w:cs="Arial"/>
        </w:rPr>
        <w:t xml:space="preserve"> </w:t>
      </w:r>
      <w:proofErr w:type="spellStart"/>
      <w:r>
        <w:rPr>
          <w:rFonts w:ascii="Arial" w:eastAsia="Arial" w:hAnsi="Arial" w:cs="Arial"/>
        </w:rPr>
        <w:t>supragingival</w:t>
      </w:r>
      <w:proofErr w:type="spellEnd"/>
      <w:r>
        <w:rPr>
          <w:rFonts w:ascii="Arial" w:eastAsia="Arial" w:hAnsi="Arial" w:cs="Arial"/>
        </w:rPr>
        <w:t xml:space="preserve">. El Programa de Adición de Flúor a la Sal para Consumo Humano, fue aprobado mediante </w:t>
      </w:r>
      <w:proofErr w:type="spellStart"/>
      <w:r>
        <w:rPr>
          <w:rFonts w:ascii="Arial" w:eastAsia="Arial" w:hAnsi="Arial" w:cs="Arial"/>
        </w:rPr>
        <w:t>Decre</w:t>
      </w:r>
      <w:proofErr w:type="spellEnd"/>
      <w:r>
        <w:rPr>
          <w:rFonts w:ascii="Arial" w:eastAsia="Arial" w:hAnsi="Arial" w:cs="Arial"/>
        </w:rPr>
        <w:t xml:space="preserve">- to 2024 de 1984 reglamentado por la </w:t>
      </w:r>
      <w:proofErr w:type="spellStart"/>
      <w:r>
        <w:rPr>
          <w:rFonts w:ascii="Arial" w:eastAsia="Arial" w:hAnsi="Arial" w:cs="Arial"/>
        </w:rPr>
        <w:t>Resoluci</w:t>
      </w:r>
      <w:proofErr w:type="spellEnd"/>
      <w:r>
        <w:rPr>
          <w:rFonts w:ascii="Arial" w:eastAsia="Arial" w:hAnsi="Arial" w:cs="Arial"/>
        </w:rPr>
        <w:t xml:space="preserve"> 15200 del mismo año. En el Artículo 4° del </w:t>
      </w:r>
      <w:proofErr w:type="spellStart"/>
      <w:r>
        <w:rPr>
          <w:rFonts w:ascii="Arial" w:eastAsia="Arial" w:hAnsi="Arial" w:cs="Arial"/>
        </w:rPr>
        <w:t>Capítulo</w:t>
      </w:r>
      <w:proofErr w:type="spellEnd"/>
      <w:r>
        <w:rPr>
          <w:rFonts w:ascii="Arial" w:eastAsia="Arial" w:hAnsi="Arial" w:cs="Arial"/>
        </w:rPr>
        <w:t xml:space="preserve"> II, define que la sal para consumo humano debe contener Yodo como Yoduro en proporción de 50 a 100 partes por millón y Flúor en proporción de 180 a 220 partes por millón junto, en cuanto a los requisitos y condiciones sanitarias de proceso, re-empaque o re-envase y comercialización de la sal para consumo humano, se deben acoger a las normas en el Decreto 2333 de 1982 y los que los modifiquen. </w:t>
      </w:r>
    </w:p>
    <w:p w:rsidR="004B199D" w:rsidRDefault="00AA0245">
      <w:pPr>
        <w:spacing w:before="280" w:after="280"/>
        <w:jc w:val="both"/>
        <w:rPr>
          <w:rFonts w:ascii="Arial" w:eastAsia="Arial" w:hAnsi="Arial" w:cs="Arial"/>
        </w:rPr>
      </w:pPr>
      <w:r>
        <w:rPr>
          <w:rFonts w:ascii="Arial" w:eastAsia="Arial" w:hAnsi="Arial" w:cs="Arial"/>
          <w:b/>
        </w:rPr>
        <w:t xml:space="preserve">Sentencia T.760 de 2008, </w:t>
      </w:r>
      <w:r>
        <w:rPr>
          <w:rFonts w:ascii="Arial" w:eastAsia="Arial" w:hAnsi="Arial" w:cs="Arial"/>
        </w:rPr>
        <w:t xml:space="preserve">de la Honorable Corte Constitucional que ordena revisar y </w:t>
      </w:r>
      <w:proofErr w:type="spellStart"/>
      <w:r>
        <w:rPr>
          <w:rFonts w:ascii="Arial" w:eastAsia="Arial" w:hAnsi="Arial" w:cs="Arial"/>
        </w:rPr>
        <w:t>uni</w:t>
      </w:r>
      <w:proofErr w:type="spellEnd"/>
      <w:r>
        <w:rPr>
          <w:rFonts w:ascii="Arial" w:eastAsia="Arial" w:hAnsi="Arial" w:cs="Arial"/>
        </w:rPr>
        <w:t xml:space="preserve">- </w:t>
      </w:r>
      <w:proofErr w:type="spellStart"/>
      <w:r>
        <w:rPr>
          <w:rFonts w:ascii="Arial" w:eastAsia="Arial" w:hAnsi="Arial" w:cs="Arial"/>
        </w:rPr>
        <w:t>ficar</w:t>
      </w:r>
      <w:proofErr w:type="spellEnd"/>
      <w:r>
        <w:rPr>
          <w:rFonts w:ascii="Arial" w:eastAsia="Arial" w:hAnsi="Arial" w:cs="Arial"/>
        </w:rPr>
        <w:t xml:space="preserve"> los Planes Obligatorios de los </w:t>
      </w:r>
      <w:proofErr w:type="spellStart"/>
      <w:r>
        <w:rPr>
          <w:rFonts w:ascii="Arial" w:eastAsia="Arial" w:hAnsi="Arial" w:cs="Arial"/>
        </w:rPr>
        <w:t>Regímenes</w:t>
      </w:r>
      <w:proofErr w:type="spellEnd"/>
      <w:r>
        <w:rPr>
          <w:rFonts w:ascii="Arial" w:eastAsia="Arial" w:hAnsi="Arial" w:cs="Arial"/>
        </w:rPr>
        <w:t xml:space="preserve"> Contributivo y Subsidiado. </w:t>
      </w:r>
    </w:p>
    <w:p w:rsidR="004B199D" w:rsidRDefault="00AA0245">
      <w:pPr>
        <w:spacing w:before="280" w:after="280"/>
        <w:jc w:val="both"/>
        <w:rPr>
          <w:rFonts w:ascii="Arial" w:eastAsia="Arial" w:hAnsi="Arial" w:cs="Arial"/>
        </w:rPr>
      </w:pPr>
      <w:r>
        <w:rPr>
          <w:rFonts w:ascii="Arial" w:eastAsia="Arial" w:hAnsi="Arial" w:cs="Arial"/>
          <w:b/>
        </w:rPr>
        <w:t>Acuerdo 08 del 29 de diciembre de 2009,</w:t>
      </w:r>
      <w:r>
        <w:rPr>
          <w:rFonts w:ascii="Arial" w:eastAsia="Arial" w:hAnsi="Arial" w:cs="Arial"/>
        </w:rPr>
        <w:t xml:space="preserve"> de la Comisión de Regulación en Salud, CRES, mediante la cual se aclaran y actualizan integralmente los Planes Obligatorios de Salud de los Regímenes Contributivo y Subsidiado. Este Acuerdo excluye del Plan Obligatorio de Salud los tratamientos de Periodoncia, Ortodoncia, </w:t>
      </w:r>
      <w:proofErr w:type="spellStart"/>
      <w:r>
        <w:rPr>
          <w:rFonts w:ascii="Arial" w:eastAsia="Arial" w:hAnsi="Arial" w:cs="Arial"/>
        </w:rPr>
        <w:t>Implantología</w:t>
      </w:r>
      <w:proofErr w:type="spellEnd"/>
      <w:r>
        <w:rPr>
          <w:rFonts w:ascii="Arial" w:eastAsia="Arial" w:hAnsi="Arial" w:cs="Arial"/>
        </w:rPr>
        <w:t xml:space="preserve">, Prótesis y Blanqueamiento Dental. Unifica los Planes Obligatorios de los </w:t>
      </w:r>
      <w:proofErr w:type="spellStart"/>
      <w:r>
        <w:rPr>
          <w:rFonts w:ascii="Arial" w:eastAsia="Arial" w:hAnsi="Arial" w:cs="Arial"/>
        </w:rPr>
        <w:t>Regi</w:t>
      </w:r>
      <w:proofErr w:type="spellEnd"/>
      <w:r>
        <w:rPr>
          <w:rFonts w:ascii="Arial" w:eastAsia="Arial" w:hAnsi="Arial" w:cs="Arial"/>
        </w:rPr>
        <w:t xml:space="preserve">́- menes Subsidiado y Contributivo para los menores de 18 años. El Gobierno Nacional, con el fin de establecer la viabilidad de unificar los dos Planes Obligatorios y, conocer el costo que esto implica para el Sistema, ha iniciado un Plan Piloto en Barranquilla que se puede extender a otras ciudades para todos los grupos de edad. </w:t>
      </w:r>
    </w:p>
    <w:p w:rsidR="004B199D" w:rsidRDefault="00AA0245">
      <w:pPr>
        <w:spacing w:before="280" w:after="280"/>
        <w:jc w:val="both"/>
        <w:rPr>
          <w:rFonts w:ascii="Arial" w:eastAsia="Arial" w:hAnsi="Arial" w:cs="Arial"/>
        </w:rPr>
      </w:pPr>
      <w:r>
        <w:rPr>
          <w:rFonts w:ascii="Arial" w:eastAsia="Arial" w:hAnsi="Arial" w:cs="Arial"/>
          <w:b/>
        </w:rPr>
        <w:t>En cuanto a las normas propias de la odontología la Ley 10 de 1962</w:t>
      </w:r>
      <w:r>
        <w:rPr>
          <w:rFonts w:ascii="Arial" w:eastAsia="Arial" w:hAnsi="Arial" w:cs="Arial"/>
        </w:rPr>
        <w:t xml:space="preserve"> se ocupa de los requisitos para ejercer la profesión de odontólogo en el territorio nacional y sus Decretos Reglamentarios; y la Ley 35 de 1989 de Ética en Odontología. Esta </w:t>
      </w:r>
      <w:r>
        <w:rPr>
          <w:rFonts w:ascii="Arial" w:eastAsia="Arial" w:hAnsi="Arial" w:cs="Arial"/>
        </w:rPr>
        <w:lastRenderedPageBreak/>
        <w:t xml:space="preserve">Ley conocida como el Código del Odontólogo Colombiano declara los principios de la ética en odontología, establece las faltas a la ética en cuanto a la relación del odontólogo con sus pacientes, colegas, personal auxiliar, instituciones, la sociedad y el Estado. Crea los tribunales de ética y describe el proceso ético disciplinario. Su Decreto Reglamentario es el 491 de 1990. </w:t>
      </w:r>
    </w:p>
    <w:p w:rsidR="004B199D" w:rsidRDefault="00AA0245">
      <w:pPr>
        <w:spacing w:before="280" w:after="280"/>
        <w:jc w:val="both"/>
        <w:rPr>
          <w:rFonts w:ascii="Arial" w:eastAsia="Arial" w:hAnsi="Arial" w:cs="Arial"/>
        </w:rPr>
      </w:pPr>
      <w:r>
        <w:rPr>
          <w:rFonts w:ascii="Arial" w:eastAsia="Arial" w:hAnsi="Arial" w:cs="Arial"/>
          <w:b/>
        </w:rPr>
        <w:t>Decreto 3616 de octubre 10 de 2005.</w:t>
      </w:r>
      <w:r>
        <w:rPr>
          <w:rFonts w:ascii="Arial" w:eastAsia="Arial" w:hAnsi="Arial" w:cs="Arial"/>
        </w:rPr>
        <w:t xml:space="preserve"> Por medio del cual se establecen las denominaciones de los auxiliares en las áreas de la salud, se adoptan sus perfiles ocupacionales y de formación, los requisitos básicos de calidad de sus programas y se dictan otras disposiciones. En este Decreto se unifica al auxiliar de consultorio dental y al auxiliar de higiene oral en un solo perfil denominado Auxiliar de Salud Oral, el cual con un año de capacitación cumple con las funciones administrativas y clínicas que tenían los dos auxiliares anteriores. En cuanto a la delegación de funciones que se puede hacer a este personal, se encuentran las actividades de promoción y prevención contempladas en la Resolución 412 del 2000, siempre bajo la supervisión y responsabilidad del odontólogo. Tal como se recomienda en las Guías de Manejo Clínico, esta delegación debe partir del </w:t>
      </w:r>
      <w:proofErr w:type="spellStart"/>
      <w:r>
        <w:rPr>
          <w:rFonts w:ascii="Arial" w:eastAsia="Arial" w:hAnsi="Arial" w:cs="Arial"/>
        </w:rPr>
        <w:t>diagnostico</w:t>
      </w:r>
      <w:proofErr w:type="spellEnd"/>
      <w:r>
        <w:rPr>
          <w:rFonts w:ascii="Arial" w:eastAsia="Arial" w:hAnsi="Arial" w:cs="Arial"/>
        </w:rPr>
        <w:t xml:space="preserve"> que realiza el profesional y no previa al </w:t>
      </w:r>
      <w:proofErr w:type="spellStart"/>
      <w:r>
        <w:rPr>
          <w:rFonts w:ascii="Arial" w:eastAsia="Arial" w:hAnsi="Arial" w:cs="Arial"/>
        </w:rPr>
        <w:t>diagnostico</w:t>
      </w:r>
      <w:proofErr w:type="spellEnd"/>
      <w:r>
        <w:rPr>
          <w:rFonts w:ascii="Arial" w:eastAsia="Arial" w:hAnsi="Arial" w:cs="Arial"/>
        </w:rPr>
        <w:t xml:space="preserve"> como se acostumbra en algunas instituciones. </w:t>
      </w:r>
    </w:p>
    <w:p w:rsidR="004B199D" w:rsidRDefault="00AA0245">
      <w:pPr>
        <w:spacing w:before="280" w:after="280"/>
        <w:jc w:val="both"/>
        <w:rPr>
          <w:rFonts w:ascii="Arial" w:eastAsia="Arial" w:hAnsi="Arial" w:cs="Arial"/>
        </w:rPr>
      </w:pPr>
      <w:r>
        <w:rPr>
          <w:rFonts w:ascii="Arial" w:eastAsia="Arial" w:hAnsi="Arial" w:cs="Arial"/>
          <w:b/>
        </w:rPr>
        <w:t>Ley 1164 del 3 de octubre de 2007.</w:t>
      </w:r>
      <w:r>
        <w:rPr>
          <w:rFonts w:ascii="Arial" w:eastAsia="Arial" w:hAnsi="Arial" w:cs="Arial"/>
        </w:rPr>
        <w:t xml:space="preserve"> Por la cual se dictan disposiciones en materia del Ta- lento Humano en Salud, cuyo objeto es establecer las disposiciones relacionadas con los procesos de planeación, formación, vigilancia y control del ejercicio, desempeño y ética del talento humano del área de la salud mediante la articulación de los diferentes actores que intervienen en estos procesos. </w:t>
      </w:r>
    </w:p>
    <w:p w:rsidR="004B199D" w:rsidRDefault="00AA0245">
      <w:pPr>
        <w:pBdr>
          <w:top w:val="nil"/>
          <w:left w:val="nil"/>
          <w:bottom w:val="nil"/>
          <w:right w:val="nil"/>
          <w:between w:val="nil"/>
        </w:pBdr>
        <w:shd w:val="clear" w:color="auto" w:fill="FFFFFF"/>
        <w:jc w:val="both"/>
        <w:rPr>
          <w:rFonts w:ascii="Arial" w:eastAsia="Arial" w:hAnsi="Arial" w:cs="Arial"/>
        </w:rPr>
      </w:pPr>
      <w:r>
        <w:rPr>
          <w:rFonts w:ascii="Arial" w:eastAsia="Arial" w:hAnsi="Arial" w:cs="Arial"/>
          <w:b/>
        </w:rPr>
        <w:t>Resolución 1101 de noviembre de 2009.</w:t>
      </w:r>
      <w:r>
        <w:rPr>
          <w:rFonts w:ascii="Arial" w:eastAsia="Arial" w:hAnsi="Arial" w:cs="Arial"/>
        </w:rPr>
        <w:t xml:space="preserve"> Por la cual se establece la Alianza por la Salud Publica. Entre sus objetivos está, el de construir conjuntamente, Secretaría Distrital de Salud, universidades, organizaciones académicas, Organización Panamericana de la Salud, Instituciones Prestadoras de Salud y otros actores sociales del Distrito Capital, propuestas para el fortalecimiento en la formación y capacitación del talento humano en salud </w:t>
      </w:r>
      <w:proofErr w:type="spellStart"/>
      <w:r>
        <w:rPr>
          <w:rFonts w:ascii="Arial" w:eastAsia="Arial" w:hAnsi="Arial" w:cs="Arial"/>
        </w:rPr>
        <w:t>publica</w:t>
      </w:r>
      <w:proofErr w:type="spellEnd"/>
      <w:r>
        <w:rPr>
          <w:rFonts w:ascii="Arial" w:eastAsia="Arial" w:hAnsi="Arial" w:cs="Arial"/>
        </w:rPr>
        <w:t xml:space="preserve">, que articule las Políticas, Planes, Programas y estrategias de salud pública y educación superior, con acciones a corto, mediano y largo plazo.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Decreto 1011 de 2006 y su Resolución 1043 de 2006.</w:t>
      </w:r>
      <w:r>
        <w:rPr>
          <w:rFonts w:ascii="Arial" w:eastAsia="Arial" w:hAnsi="Arial" w:cs="Arial"/>
        </w:rPr>
        <w:t xml:space="preserve"> Por el cual se establecen las condiciones que deben cumplir los prestadores para habilitar los servicios.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Decreto 3518 de 2006</w:t>
      </w:r>
      <w:r>
        <w:rPr>
          <w:rFonts w:ascii="Arial" w:eastAsia="Arial" w:hAnsi="Arial" w:cs="Arial"/>
        </w:rPr>
        <w:t xml:space="preserve">. Por el cual crea y reglamenta el Sistema de Vigilancia en Salud Publica. Este Decreto determina los conceptos y aspectos operativos básicos </w:t>
      </w:r>
      <w:r>
        <w:rPr>
          <w:rFonts w:ascii="Arial" w:eastAsia="Arial" w:hAnsi="Arial" w:cs="Arial"/>
        </w:rPr>
        <w:lastRenderedPageBreak/>
        <w:t xml:space="preserve">del Sistema Nacional y sirve de referente para los Subsistemas de Vigilancia como el de salud oral, SISVESO.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Ley 38 de enero de 1993</w:t>
      </w:r>
      <w:r>
        <w:rPr>
          <w:rFonts w:ascii="Arial" w:eastAsia="Arial" w:hAnsi="Arial" w:cs="Arial"/>
        </w:rPr>
        <w:t xml:space="preserve"> del Congreso de Colombia, la cual unifica el Sistema de Dactiloscopia y se adopta la Carta Dental para fines de identificación. Dispone que a partir del 1° de enero de 1993, todos los consultorios odontológicos, tanto públicos como privados, están obligados a levantar una carta dental y mantener su respectivo archivo.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 xml:space="preserve">Resolución 1995 de julio de 1999 </w:t>
      </w:r>
      <w:r>
        <w:rPr>
          <w:rFonts w:ascii="Arial" w:eastAsia="Arial" w:hAnsi="Arial" w:cs="Arial"/>
        </w:rPr>
        <w:t xml:space="preserve">por la cual el Ministro de Salud establece Normas para el Manejo de la Historia Clínica.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 xml:space="preserve">Decreto 190 de 1995 del Ministerio de Salud, </w:t>
      </w:r>
      <w:r>
        <w:rPr>
          <w:rFonts w:ascii="Arial" w:eastAsia="Arial" w:hAnsi="Arial" w:cs="Arial"/>
        </w:rPr>
        <w:t xml:space="preserve">se refiere a los convenios docente asistenciales que se podrían establecer, con la participación de las entidades educativas universitarias autorizadas por la Ley 30 de 1992, por las entidades educativas de carácter formal o no formal contempladas en la Ley 115 de 1994 y las Instituciones Prestadoras de Servicios de Salud legalmente reconocidas. </w:t>
      </w:r>
    </w:p>
    <w:p w:rsidR="004B199D" w:rsidRDefault="00AA0245">
      <w:pPr>
        <w:shd w:val="clear" w:color="auto" w:fill="FFFFFF"/>
        <w:spacing w:before="280" w:after="280"/>
        <w:jc w:val="both"/>
        <w:rPr>
          <w:rFonts w:ascii="Arial" w:eastAsia="Arial" w:hAnsi="Arial" w:cs="Arial"/>
        </w:rPr>
      </w:pPr>
      <w:r>
        <w:rPr>
          <w:rFonts w:ascii="Arial" w:eastAsia="Arial" w:hAnsi="Arial" w:cs="Arial"/>
          <w:b/>
        </w:rPr>
        <w:t xml:space="preserve">Ley 1438. </w:t>
      </w:r>
      <w:r>
        <w:rPr>
          <w:rFonts w:ascii="Arial" w:eastAsia="Arial" w:hAnsi="Arial" w:cs="Arial"/>
        </w:rPr>
        <w:t xml:space="preserve">“Por medio de la cual se reforma el Sistema General de Seguridad Social en Salud y se dictan otras disposiciones”. Esta Ley tiene como objeto el fortalecimiento del Sistema General de Seguridad Social en Salud a través de un modelo de prestación del servicio </w:t>
      </w:r>
      <w:proofErr w:type="spellStart"/>
      <w:r>
        <w:rPr>
          <w:rFonts w:ascii="Arial" w:eastAsia="Arial" w:hAnsi="Arial" w:cs="Arial"/>
        </w:rPr>
        <w:t>publico</w:t>
      </w:r>
      <w:proofErr w:type="spellEnd"/>
      <w:r>
        <w:rPr>
          <w:rFonts w:ascii="Arial" w:eastAsia="Arial" w:hAnsi="Arial" w:cs="Arial"/>
        </w:rPr>
        <w:t xml:space="preserve"> en salud que en el marco de la  Estrategia Atención Primaria en Salud permita la acción coordinada del Estado, las instituciones y la sociedad para el mejoramiento de la salud y la creación de un ambiente sano y saludable, que brinde servicios de mayor calidad, incluyente y equitativo, donde el centro y objetivo de to- dos los esfuerzos sean los residentes en el país. </w:t>
      </w:r>
    </w:p>
    <w:p w:rsidR="004B199D" w:rsidRDefault="004B199D">
      <w:pPr>
        <w:pBdr>
          <w:top w:val="nil"/>
          <w:left w:val="nil"/>
          <w:bottom w:val="nil"/>
          <w:right w:val="nil"/>
          <w:between w:val="nil"/>
        </w:pBdr>
        <w:spacing w:line="276" w:lineRule="auto"/>
        <w:ind w:left="1004"/>
        <w:rPr>
          <w:rFonts w:ascii="Arial" w:eastAsia="Arial" w:hAnsi="Arial" w:cs="Arial"/>
          <w:b/>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DE LA UNIDAD DE MATERIA DEL PROYECTO</w:t>
      </w:r>
    </w:p>
    <w:p w:rsidR="004B199D" w:rsidRDefault="004B199D">
      <w:pPr>
        <w:pBdr>
          <w:top w:val="nil"/>
          <w:left w:val="nil"/>
          <w:bottom w:val="nil"/>
          <w:right w:val="nil"/>
          <w:between w:val="nil"/>
        </w:pBdr>
        <w:spacing w:line="276" w:lineRule="auto"/>
        <w:ind w:left="360"/>
        <w:jc w:val="both"/>
        <w:rPr>
          <w:rFonts w:ascii="Arial" w:eastAsia="Arial" w:hAnsi="Arial" w:cs="Arial"/>
          <w:b/>
          <w:sz w:val="22"/>
          <w:szCs w:val="22"/>
        </w:rPr>
      </w:pPr>
    </w:p>
    <w:p w:rsidR="004B199D" w:rsidRDefault="00AA0245">
      <w:pPr>
        <w:pBdr>
          <w:top w:val="nil"/>
          <w:left w:val="nil"/>
          <w:bottom w:val="nil"/>
          <w:right w:val="nil"/>
          <w:between w:val="nil"/>
        </w:pBdr>
        <w:spacing w:line="276" w:lineRule="auto"/>
        <w:jc w:val="both"/>
        <w:rPr>
          <w:rFonts w:ascii="Arial" w:eastAsia="Arial" w:hAnsi="Arial" w:cs="Arial"/>
          <w:sz w:val="22"/>
          <w:szCs w:val="22"/>
        </w:rPr>
      </w:pPr>
      <w:r>
        <w:rPr>
          <w:rFonts w:ascii="Arial" w:eastAsia="Arial" w:hAnsi="Arial" w:cs="Arial"/>
          <w:sz w:val="22"/>
          <w:szCs w:val="22"/>
        </w:rPr>
        <w:t>Al respecto encontramos que el Acuerdo 741 de 2019 establece:</w:t>
      </w:r>
    </w:p>
    <w:p w:rsidR="004B199D" w:rsidRDefault="004B199D">
      <w:pPr>
        <w:pBdr>
          <w:top w:val="nil"/>
          <w:left w:val="nil"/>
          <w:bottom w:val="nil"/>
          <w:right w:val="nil"/>
          <w:between w:val="nil"/>
        </w:pBdr>
        <w:spacing w:line="276" w:lineRule="auto"/>
        <w:jc w:val="both"/>
        <w:rPr>
          <w:rFonts w:ascii="Arial" w:eastAsia="Arial" w:hAnsi="Arial" w:cs="Arial"/>
          <w:sz w:val="22"/>
          <w:szCs w:val="22"/>
        </w:rPr>
      </w:pPr>
    </w:p>
    <w:p w:rsidR="004B199D" w:rsidRDefault="00AA0245">
      <w:pPr>
        <w:spacing w:line="276" w:lineRule="auto"/>
        <w:ind w:left="709"/>
        <w:jc w:val="both"/>
        <w:rPr>
          <w:rFonts w:ascii="Arial" w:eastAsia="Arial" w:hAnsi="Arial" w:cs="Arial"/>
          <w:i/>
          <w:sz w:val="22"/>
          <w:szCs w:val="22"/>
        </w:rPr>
      </w:pPr>
      <w:r>
        <w:rPr>
          <w:rFonts w:ascii="Arial" w:eastAsia="Arial" w:hAnsi="Arial" w:cs="Arial"/>
          <w:b/>
          <w:i/>
          <w:sz w:val="22"/>
          <w:szCs w:val="22"/>
        </w:rPr>
        <w:t>ARTÍCULO</w:t>
      </w:r>
      <w:r>
        <w:rPr>
          <w:rFonts w:ascii="Arial" w:eastAsia="Arial" w:hAnsi="Arial" w:cs="Arial"/>
          <w:i/>
          <w:sz w:val="22"/>
          <w:szCs w:val="22"/>
        </w:rPr>
        <w:t> </w:t>
      </w:r>
      <w:r>
        <w:rPr>
          <w:rFonts w:ascii="Arial" w:eastAsia="Arial" w:hAnsi="Arial" w:cs="Arial"/>
          <w:b/>
          <w:i/>
          <w:sz w:val="22"/>
          <w:szCs w:val="22"/>
        </w:rPr>
        <w:t>67.- CONTENIDO Y UNIDAD DE MATERIA.</w:t>
      </w:r>
      <w:r>
        <w:rPr>
          <w:rFonts w:ascii="Arial" w:eastAsia="Arial" w:hAnsi="Arial" w:cs="Arial"/>
          <w:i/>
          <w:sz w:val="22"/>
          <w:szCs w:val="22"/>
        </w:rPr>
        <w:t> Los proyectos de acuerdo deben versar sobre una misma materia e ir acompañados de una exposición de motivos que contendrá como mínimo, los siguientes requisitos: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a) Sustento jurídico de la iniciativa.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b) Justificación del proyecto.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lastRenderedPageBreak/>
        <w:t>c) Alcances de la iniciativa y demás consideraciones del autor.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d) Análisis del impacto fiscal del proyecto.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e) Cuando se trate de iniciativas del Gobierno Distrital, deberá adjuntarse la certificación del Secretario de Despacho correspondiente, sobre cumplimiento de todos los requisitos previos a su radicación en el Concejo de Bogotá.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 </w:t>
      </w:r>
    </w:p>
    <w:p w:rsidR="004B199D" w:rsidRDefault="00AA0245">
      <w:pPr>
        <w:spacing w:line="276" w:lineRule="auto"/>
        <w:ind w:left="709"/>
        <w:jc w:val="both"/>
        <w:rPr>
          <w:rFonts w:ascii="Arial" w:eastAsia="Arial" w:hAnsi="Arial" w:cs="Arial"/>
          <w:i/>
          <w:sz w:val="22"/>
          <w:szCs w:val="22"/>
        </w:rPr>
      </w:pPr>
      <w:r>
        <w:rPr>
          <w:rFonts w:ascii="Arial" w:eastAsia="Arial" w:hAnsi="Arial" w:cs="Arial"/>
          <w:i/>
          <w:sz w:val="22"/>
          <w:szCs w:val="22"/>
        </w:rPr>
        <w:t>El Presidente del Concejo de Bogotá, D.C., a través de la Secretaría General rechazará las iniciativas que no cumplan con este precepto. Sus decisiones serán apelables ante la Plenaria de la Corporación.</w:t>
      </w:r>
    </w:p>
    <w:p w:rsidR="004B199D" w:rsidRDefault="004B199D">
      <w:pPr>
        <w:spacing w:line="276" w:lineRule="auto"/>
        <w:jc w:val="both"/>
        <w:rPr>
          <w:rFonts w:ascii="Arial" w:eastAsia="Arial" w:hAnsi="Arial" w:cs="Arial"/>
          <w:i/>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En el estudio del Proyecto de Acuerdo 081 de 2025, se evidencia el cumplimiento de los literales mencionados. </w:t>
      </w:r>
    </w:p>
    <w:p w:rsidR="004B199D" w:rsidRDefault="004B199D">
      <w:pPr>
        <w:spacing w:line="276" w:lineRule="auto"/>
        <w:rPr>
          <w:rFonts w:ascii="Arial" w:eastAsia="Arial" w:hAnsi="Arial" w:cs="Arial"/>
          <w:sz w:val="22"/>
          <w:szCs w:val="22"/>
        </w:rPr>
      </w:pPr>
    </w:p>
    <w:p w:rsidR="004B199D" w:rsidRDefault="004B199D">
      <w:pPr>
        <w:spacing w:line="276" w:lineRule="auto"/>
        <w:rPr>
          <w:rFonts w:ascii="Arial" w:eastAsia="Arial" w:hAnsi="Arial" w:cs="Arial"/>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IMPACTO FISCAL.</w:t>
      </w: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Es relevante mencionar, para el caso en concreto que, la Corte Constitucional en Sentencia C-911 de 2007, puntualizó que el impacto fiscal de las normas no puede convertirse en obstáculo para que las corporaciones públicas ejerzan su función legislativa y normativa, afirmando:</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 Precisamente, los obstáculos casi insuperables que se generarían para la actividad legislativa del Congreso de la República conducirían a concederle una forma de poder de </w:t>
      </w:r>
      <w:r>
        <w:rPr>
          <w:rFonts w:ascii="Arial" w:eastAsia="Arial" w:hAnsi="Arial" w:cs="Arial"/>
          <w:sz w:val="22"/>
          <w:szCs w:val="22"/>
        </w:rPr>
        <w:lastRenderedPageBreak/>
        <w:t>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Así las cosas, el Artículo 7 de la Ley 819 de 2003 establece la obligatoriedad de analizar el impacto fiscal de las normas en cuanto a los gastos adicionales o reducción de los ingresos correspondientes a la entidad territorial en la cual se apliquen.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El presente Proyecto de Acuerdo no incluye en su articulado ninguna disposición que pueda generar gastos adicionales a los presupuestados para el cumplimiento de los fines de las entidades distritales y puede ser desarrollado en las funciones operativas propias de las entidades distritales, por lo que no genera impacto fiscal. En el mismo sentido, tampoco tiene incidencia en la reducción de los ingresos distritales.</w:t>
      </w:r>
    </w:p>
    <w:p w:rsidR="004B199D" w:rsidRDefault="004B199D">
      <w:pPr>
        <w:spacing w:line="276" w:lineRule="auto"/>
        <w:jc w:val="both"/>
        <w:rPr>
          <w:rFonts w:ascii="Arial" w:eastAsia="Arial" w:hAnsi="Arial" w:cs="Arial"/>
          <w:sz w:val="22"/>
          <w:szCs w:val="22"/>
        </w:rPr>
      </w:pPr>
    </w:p>
    <w:p w:rsidR="004B199D" w:rsidRDefault="00AA0245">
      <w:pPr>
        <w:numPr>
          <w:ilvl w:val="0"/>
          <w:numId w:val="2"/>
        </w:numPr>
        <w:pBdr>
          <w:top w:val="nil"/>
          <w:left w:val="nil"/>
          <w:bottom w:val="nil"/>
          <w:right w:val="nil"/>
          <w:between w:val="nil"/>
        </w:pBdr>
        <w:spacing w:after="160" w:line="276" w:lineRule="auto"/>
        <w:jc w:val="center"/>
        <w:rPr>
          <w:rFonts w:ascii="Arial" w:eastAsia="Arial" w:hAnsi="Arial" w:cs="Arial"/>
          <w:b/>
          <w:sz w:val="22"/>
          <w:szCs w:val="22"/>
        </w:rPr>
      </w:pPr>
      <w:r>
        <w:rPr>
          <w:rFonts w:ascii="Arial" w:eastAsia="Arial" w:hAnsi="Arial" w:cs="Arial"/>
          <w:b/>
          <w:sz w:val="22"/>
          <w:szCs w:val="22"/>
        </w:rPr>
        <w:t>INICIATIVA Y COMPETENCIA</w:t>
      </w:r>
    </w:p>
    <w:p w:rsidR="004B199D" w:rsidRDefault="00AA0245">
      <w:pPr>
        <w:widowControl w:val="0"/>
        <w:spacing w:line="276" w:lineRule="auto"/>
        <w:jc w:val="both"/>
        <w:rPr>
          <w:rFonts w:ascii="Arial" w:eastAsia="Arial" w:hAnsi="Arial" w:cs="Arial"/>
          <w:sz w:val="22"/>
          <w:szCs w:val="22"/>
        </w:rPr>
      </w:pPr>
      <w:r>
        <w:rPr>
          <w:rFonts w:ascii="Arial" w:eastAsia="Arial" w:hAnsi="Arial" w:cs="Arial"/>
          <w:sz w:val="22"/>
          <w:szCs w:val="22"/>
        </w:rPr>
        <w:t>De conformidad con el numeral 1 del artículo 12 y el artículo 13 del Decreto Ley 1421 de 1993</w:t>
      </w:r>
      <w:r>
        <w:rPr>
          <w:rFonts w:ascii="Arial" w:eastAsia="Arial" w:hAnsi="Arial" w:cs="Arial"/>
          <w:sz w:val="22"/>
          <w:szCs w:val="22"/>
          <w:vertAlign w:val="superscript"/>
        </w:rPr>
        <w:footnoteReference w:id="2"/>
      </w:r>
      <w:r>
        <w:rPr>
          <w:rFonts w:ascii="Arial" w:eastAsia="Arial" w:hAnsi="Arial" w:cs="Arial"/>
          <w:sz w:val="22"/>
          <w:szCs w:val="22"/>
        </w:rPr>
        <w:t>, corresponde al Concejo de Bogotá, dictar las normas orgánicas del presupuesto y expedir anualmente el presupuesto de rentas y gastos, a iniciativa del Alcalde Mayor de Bogotá, tal como se anota a continuación:</w:t>
      </w:r>
    </w:p>
    <w:p w:rsidR="004B199D" w:rsidRDefault="004B199D">
      <w:pPr>
        <w:widowControl w:val="0"/>
        <w:spacing w:line="276" w:lineRule="auto"/>
        <w:jc w:val="both"/>
        <w:rPr>
          <w:rFonts w:ascii="Arial" w:eastAsia="Arial" w:hAnsi="Arial" w:cs="Arial"/>
          <w:sz w:val="22"/>
          <w:szCs w:val="22"/>
        </w:rPr>
      </w:pPr>
    </w:p>
    <w:p w:rsidR="004B199D" w:rsidRDefault="00AA0245">
      <w:pPr>
        <w:pBdr>
          <w:top w:val="nil"/>
          <w:left w:val="nil"/>
          <w:bottom w:val="nil"/>
          <w:right w:val="nil"/>
          <w:between w:val="nil"/>
        </w:pBdr>
        <w:spacing w:line="276" w:lineRule="auto"/>
        <w:ind w:left="142"/>
        <w:jc w:val="both"/>
        <w:rPr>
          <w:rFonts w:ascii="Arial" w:eastAsia="Arial" w:hAnsi="Arial" w:cs="Arial"/>
          <w:i/>
          <w:sz w:val="22"/>
          <w:szCs w:val="22"/>
        </w:rPr>
      </w:pPr>
      <w:r>
        <w:rPr>
          <w:rFonts w:ascii="Arial" w:eastAsia="Arial" w:hAnsi="Arial" w:cs="Arial"/>
          <w:i/>
          <w:sz w:val="22"/>
          <w:szCs w:val="22"/>
        </w:rPr>
        <w:t>“Artículo. - 12. Atribuciones. Corresponde al Concejo Distrital, de conformidad con la Constitución y a la ley: (…)</w:t>
      </w:r>
    </w:p>
    <w:p w:rsidR="004B199D" w:rsidRDefault="004B199D">
      <w:pPr>
        <w:pBdr>
          <w:top w:val="nil"/>
          <w:left w:val="nil"/>
          <w:bottom w:val="nil"/>
          <w:right w:val="nil"/>
          <w:between w:val="nil"/>
        </w:pBdr>
        <w:spacing w:line="276" w:lineRule="auto"/>
        <w:ind w:left="142"/>
        <w:jc w:val="both"/>
        <w:rPr>
          <w:rFonts w:ascii="Arial" w:eastAsia="Arial" w:hAnsi="Arial" w:cs="Arial"/>
          <w:i/>
          <w:sz w:val="22"/>
          <w:szCs w:val="22"/>
        </w:rPr>
      </w:pPr>
    </w:p>
    <w:p w:rsidR="004B199D" w:rsidRDefault="00AA0245">
      <w:pPr>
        <w:numPr>
          <w:ilvl w:val="0"/>
          <w:numId w:val="1"/>
        </w:numPr>
        <w:pBdr>
          <w:top w:val="nil"/>
          <w:left w:val="nil"/>
          <w:bottom w:val="nil"/>
          <w:right w:val="nil"/>
          <w:between w:val="nil"/>
        </w:pBdr>
        <w:spacing w:line="276" w:lineRule="auto"/>
        <w:rPr>
          <w:rFonts w:ascii="Arial" w:eastAsia="Arial" w:hAnsi="Arial" w:cs="Arial"/>
          <w:i/>
          <w:sz w:val="22"/>
          <w:szCs w:val="22"/>
        </w:rPr>
      </w:pPr>
      <w:r>
        <w:rPr>
          <w:rFonts w:ascii="Arial" w:eastAsia="Arial" w:hAnsi="Arial" w:cs="Arial"/>
          <w:i/>
          <w:sz w:val="22"/>
          <w:szCs w:val="22"/>
        </w:rPr>
        <w:t>Dictar las normas necesarias para garantizar el adecuado cumplimiento de las funciones y la eficiente prestación de los servicios a cargo del Distrito.</w:t>
      </w:r>
    </w:p>
    <w:p w:rsidR="004B199D" w:rsidRDefault="004B199D">
      <w:pPr>
        <w:pBdr>
          <w:top w:val="nil"/>
          <w:left w:val="nil"/>
          <w:bottom w:val="nil"/>
          <w:right w:val="nil"/>
          <w:between w:val="nil"/>
        </w:pBdr>
        <w:spacing w:line="276" w:lineRule="auto"/>
        <w:ind w:left="720"/>
        <w:rPr>
          <w:rFonts w:ascii="Arial" w:eastAsia="Arial" w:hAnsi="Arial" w:cs="Arial"/>
          <w:i/>
          <w:sz w:val="22"/>
          <w:szCs w:val="22"/>
        </w:rPr>
      </w:pPr>
    </w:p>
    <w:p w:rsidR="004B199D" w:rsidRDefault="00AA0245">
      <w:pPr>
        <w:spacing w:line="276" w:lineRule="auto"/>
        <w:ind w:left="360"/>
        <w:rPr>
          <w:rFonts w:ascii="Arial" w:eastAsia="Arial" w:hAnsi="Arial" w:cs="Arial"/>
          <w:i/>
          <w:sz w:val="22"/>
          <w:szCs w:val="22"/>
        </w:rPr>
      </w:pPr>
      <w:r>
        <w:rPr>
          <w:rFonts w:ascii="Arial" w:eastAsia="Arial" w:hAnsi="Arial" w:cs="Arial"/>
          <w:i/>
          <w:sz w:val="22"/>
          <w:szCs w:val="22"/>
        </w:rPr>
        <w:t>25. Cumplir</w:t>
      </w:r>
      <w:r>
        <w:rPr>
          <w:rFonts w:ascii="Arial" w:eastAsia="Arial" w:hAnsi="Arial" w:cs="Arial"/>
          <w:i/>
          <w:sz w:val="22"/>
          <w:szCs w:val="22"/>
          <w:highlight w:val="white"/>
        </w:rPr>
        <w:t> </w:t>
      </w:r>
      <w:r>
        <w:rPr>
          <w:rFonts w:ascii="Arial" w:eastAsia="Arial" w:hAnsi="Arial" w:cs="Arial"/>
          <w:i/>
          <w:sz w:val="22"/>
          <w:szCs w:val="22"/>
        </w:rPr>
        <w:t>las demás funciones que le asignen las disposiciones vigentes.</w:t>
      </w:r>
    </w:p>
    <w:p w:rsidR="004B199D" w:rsidRDefault="004B199D">
      <w:pPr>
        <w:spacing w:line="276" w:lineRule="auto"/>
        <w:rPr>
          <w:rFonts w:ascii="Arial" w:eastAsia="Arial" w:hAnsi="Arial" w:cs="Arial"/>
          <w:i/>
          <w:sz w:val="22"/>
          <w:szCs w:val="22"/>
        </w:rPr>
      </w:pPr>
    </w:p>
    <w:p w:rsidR="004B199D" w:rsidRDefault="00AA0245">
      <w:pPr>
        <w:spacing w:line="276" w:lineRule="auto"/>
        <w:rPr>
          <w:rFonts w:ascii="Arial" w:eastAsia="Arial" w:hAnsi="Arial" w:cs="Arial"/>
          <w:b/>
          <w:sz w:val="22"/>
          <w:szCs w:val="22"/>
        </w:rPr>
      </w:pPr>
      <w:r>
        <w:rPr>
          <w:rFonts w:ascii="Arial" w:eastAsia="Arial" w:hAnsi="Arial" w:cs="Arial"/>
          <w:sz w:val="22"/>
          <w:szCs w:val="22"/>
        </w:rPr>
        <w:t xml:space="preserve">Asimismo, la norma indicada estableces frente a la iniciativa que, </w:t>
      </w:r>
    </w:p>
    <w:p w:rsidR="004B199D" w:rsidRDefault="004B199D">
      <w:pPr>
        <w:pBdr>
          <w:top w:val="nil"/>
          <w:left w:val="nil"/>
          <w:bottom w:val="nil"/>
          <w:right w:val="nil"/>
          <w:between w:val="nil"/>
        </w:pBdr>
        <w:spacing w:line="276" w:lineRule="auto"/>
        <w:jc w:val="both"/>
        <w:rPr>
          <w:rFonts w:ascii="Arial" w:eastAsia="Arial" w:hAnsi="Arial" w:cs="Arial"/>
          <w:i/>
          <w:sz w:val="22"/>
          <w:szCs w:val="22"/>
        </w:rPr>
      </w:pPr>
    </w:p>
    <w:p w:rsidR="004B199D" w:rsidRDefault="00AA0245">
      <w:pPr>
        <w:pBdr>
          <w:top w:val="nil"/>
          <w:left w:val="nil"/>
          <w:bottom w:val="nil"/>
          <w:right w:val="nil"/>
          <w:between w:val="nil"/>
        </w:pBdr>
        <w:spacing w:line="276" w:lineRule="auto"/>
        <w:ind w:left="142"/>
        <w:jc w:val="both"/>
        <w:rPr>
          <w:rFonts w:ascii="Arial" w:eastAsia="Arial" w:hAnsi="Arial" w:cs="Arial"/>
          <w:i/>
          <w:sz w:val="22"/>
          <w:szCs w:val="22"/>
        </w:rPr>
      </w:pPr>
      <w:r>
        <w:rPr>
          <w:rFonts w:ascii="Arial" w:eastAsia="Arial" w:hAnsi="Arial" w:cs="Arial"/>
          <w:i/>
          <w:sz w:val="22"/>
          <w:szCs w:val="22"/>
        </w:rPr>
        <w:t xml:space="preserve">“Artículo. - 13. Iniciativa. (…) Sólo podrán ser dictados o reformados a </w:t>
      </w:r>
      <w:r>
        <w:rPr>
          <w:rFonts w:ascii="Arial" w:eastAsia="Arial" w:hAnsi="Arial" w:cs="Arial"/>
          <w:i/>
          <w:sz w:val="22"/>
          <w:szCs w:val="22"/>
          <w:u w:val="single"/>
        </w:rPr>
        <w:t>iniciativa del alcalde</w:t>
      </w:r>
      <w:r>
        <w:rPr>
          <w:rFonts w:ascii="Arial" w:eastAsia="Arial" w:hAnsi="Arial" w:cs="Arial"/>
          <w:i/>
          <w:sz w:val="22"/>
          <w:szCs w:val="22"/>
        </w:rPr>
        <w:t xml:space="preserve"> los acuerdos a que se refieren los ordinales 2o., 3o., </w:t>
      </w:r>
      <w:r>
        <w:rPr>
          <w:rFonts w:ascii="Arial" w:eastAsia="Arial" w:hAnsi="Arial" w:cs="Arial"/>
          <w:i/>
          <w:sz w:val="22"/>
          <w:szCs w:val="22"/>
          <w:u w:val="single"/>
        </w:rPr>
        <w:t>4o</w:t>
      </w:r>
      <w:r>
        <w:rPr>
          <w:rFonts w:ascii="Arial" w:eastAsia="Arial" w:hAnsi="Arial" w:cs="Arial"/>
          <w:i/>
          <w:sz w:val="22"/>
          <w:szCs w:val="22"/>
        </w:rPr>
        <w:t xml:space="preserve">., 5o., 8o., 9o., 14, 16, 17 y 21 del </w:t>
      </w:r>
      <w:r>
        <w:rPr>
          <w:rFonts w:ascii="Arial" w:eastAsia="Arial" w:hAnsi="Arial" w:cs="Arial"/>
          <w:i/>
          <w:sz w:val="22"/>
          <w:szCs w:val="22"/>
        </w:rPr>
        <w:lastRenderedPageBreak/>
        <w:t>artículo anterior. Igualmente, sólo podrán ser dictados o reformados a iniciativa del alcalde los acuerdos que decreten inversiones, ordenen servicios a cargo del Distrito, autoricen enajenar sus bienes y dispongan exenciones tributarias o cedan sus rentas. El Concejo podrá introducir modificaciones a los proyectos presentados por el Alcalde”. (Negrillas y subrayado por fuera del texto original. (…)</w:t>
      </w:r>
    </w:p>
    <w:p w:rsidR="004B199D" w:rsidRDefault="004B199D">
      <w:pPr>
        <w:pBdr>
          <w:top w:val="nil"/>
          <w:left w:val="nil"/>
          <w:bottom w:val="nil"/>
          <w:right w:val="nil"/>
          <w:between w:val="nil"/>
        </w:pBdr>
        <w:spacing w:line="276" w:lineRule="auto"/>
        <w:ind w:left="142"/>
        <w:jc w:val="both"/>
        <w:rPr>
          <w:rFonts w:ascii="Arial" w:eastAsia="Arial" w:hAnsi="Arial" w:cs="Arial"/>
          <w:sz w:val="22"/>
          <w:szCs w:val="22"/>
        </w:rPr>
      </w:pPr>
    </w:p>
    <w:p w:rsidR="004B199D" w:rsidRDefault="00AA0245">
      <w:pPr>
        <w:pBdr>
          <w:top w:val="nil"/>
          <w:left w:val="nil"/>
          <w:bottom w:val="nil"/>
          <w:right w:val="nil"/>
          <w:between w:val="nil"/>
        </w:pBdr>
        <w:spacing w:line="276" w:lineRule="auto"/>
        <w:jc w:val="both"/>
        <w:rPr>
          <w:rFonts w:ascii="Arial" w:eastAsia="Arial" w:hAnsi="Arial" w:cs="Arial"/>
          <w:sz w:val="22"/>
          <w:szCs w:val="22"/>
        </w:rPr>
      </w:pPr>
      <w:r>
        <w:rPr>
          <w:rFonts w:ascii="Arial" w:eastAsia="Arial" w:hAnsi="Arial" w:cs="Arial"/>
          <w:sz w:val="22"/>
          <w:szCs w:val="22"/>
        </w:rPr>
        <w:t xml:space="preserve">Por tanto, se cumple con los requisitos indicados para el presente proyecto, tanto de competencias como de presentación de la iniciativa. </w:t>
      </w:r>
    </w:p>
    <w:p w:rsidR="004B199D" w:rsidRDefault="004B199D">
      <w:pPr>
        <w:pBdr>
          <w:top w:val="nil"/>
          <w:left w:val="nil"/>
          <w:bottom w:val="nil"/>
          <w:right w:val="nil"/>
          <w:between w:val="nil"/>
        </w:pBdr>
        <w:spacing w:line="276" w:lineRule="auto"/>
        <w:jc w:val="both"/>
        <w:rPr>
          <w:rFonts w:ascii="Arial" w:eastAsia="Arial" w:hAnsi="Arial" w:cs="Arial"/>
          <w:sz w:val="22"/>
          <w:szCs w:val="22"/>
        </w:rPr>
      </w:pPr>
    </w:p>
    <w:p w:rsidR="004B199D" w:rsidRDefault="004B199D">
      <w:pPr>
        <w:pBdr>
          <w:top w:val="nil"/>
          <w:left w:val="nil"/>
          <w:bottom w:val="nil"/>
          <w:right w:val="nil"/>
          <w:between w:val="nil"/>
        </w:pBdr>
        <w:spacing w:line="276" w:lineRule="auto"/>
        <w:rPr>
          <w:rFonts w:ascii="Arial" w:eastAsia="Arial" w:hAnsi="Arial" w:cs="Arial"/>
          <w:sz w:val="22"/>
          <w:szCs w:val="22"/>
        </w:rPr>
      </w:pPr>
    </w:p>
    <w:p w:rsidR="004B199D" w:rsidRDefault="00AA0245">
      <w:pPr>
        <w:numPr>
          <w:ilvl w:val="0"/>
          <w:numId w:val="2"/>
        </w:numPr>
        <w:pBdr>
          <w:top w:val="nil"/>
          <w:left w:val="nil"/>
          <w:bottom w:val="nil"/>
          <w:right w:val="nil"/>
          <w:between w:val="nil"/>
        </w:pBdr>
        <w:spacing w:line="276" w:lineRule="auto"/>
        <w:jc w:val="center"/>
        <w:rPr>
          <w:rFonts w:ascii="Arial" w:eastAsia="Arial" w:hAnsi="Arial" w:cs="Arial"/>
          <w:b/>
          <w:sz w:val="22"/>
          <w:szCs w:val="22"/>
        </w:rPr>
      </w:pPr>
      <w:r>
        <w:rPr>
          <w:rFonts w:ascii="Arial" w:eastAsia="Arial" w:hAnsi="Arial" w:cs="Arial"/>
          <w:b/>
          <w:sz w:val="22"/>
          <w:szCs w:val="22"/>
        </w:rPr>
        <w:t>CONCLUSIONES.</w:t>
      </w:r>
    </w:p>
    <w:p w:rsidR="004B199D" w:rsidRDefault="00AA0245">
      <w:pPr>
        <w:pBdr>
          <w:top w:val="nil"/>
          <w:left w:val="nil"/>
          <w:bottom w:val="nil"/>
          <w:right w:val="nil"/>
          <w:between w:val="nil"/>
        </w:pBdr>
        <w:spacing w:before="240" w:after="240"/>
        <w:jc w:val="both"/>
        <w:rPr>
          <w:rFonts w:ascii="Arial" w:eastAsia="Arial" w:hAnsi="Arial" w:cs="Arial"/>
          <w:sz w:val="22"/>
          <w:szCs w:val="22"/>
        </w:rPr>
      </w:pPr>
      <w:r>
        <w:rPr>
          <w:rFonts w:ascii="Arial" w:eastAsia="Arial" w:hAnsi="Arial" w:cs="Arial"/>
          <w:sz w:val="22"/>
          <w:szCs w:val="22"/>
        </w:rPr>
        <w:t xml:space="preserve">Considerando los argumentos expuestos y en cumplimiento de los requisitos establecidos en el artículo 71 del Acuerdo 741 de 2019, nos permitimos presentar </w:t>
      </w:r>
      <w:r>
        <w:rPr>
          <w:rFonts w:ascii="Arial" w:eastAsia="Arial" w:hAnsi="Arial" w:cs="Arial"/>
          <w:b/>
          <w:sz w:val="22"/>
          <w:szCs w:val="22"/>
        </w:rPr>
        <w:t xml:space="preserve">PONENCIA POSITIVA CONJUNTA CON MODIFICACIONES </w:t>
      </w:r>
      <w:r w:rsidR="00E82DB5">
        <w:rPr>
          <w:rFonts w:ascii="Arial" w:eastAsia="Arial" w:hAnsi="Arial" w:cs="Arial"/>
          <w:sz w:val="22"/>
          <w:szCs w:val="22"/>
        </w:rPr>
        <w:t>al Proyecto de Acuerdo No. 561</w:t>
      </w:r>
      <w:r>
        <w:rPr>
          <w:rFonts w:ascii="Arial" w:eastAsia="Arial" w:hAnsi="Arial" w:cs="Arial"/>
          <w:sz w:val="22"/>
          <w:szCs w:val="22"/>
        </w:rPr>
        <w:t xml:space="preserve"> de 2025</w:t>
      </w:r>
      <w:r>
        <w:rPr>
          <w:rFonts w:ascii="Arial" w:eastAsia="Arial" w:hAnsi="Arial" w:cs="Arial"/>
          <w:b/>
          <w:sz w:val="22"/>
          <w:szCs w:val="22"/>
        </w:rPr>
        <w:t xml:space="preserve"> </w:t>
      </w:r>
      <w:r>
        <w:rPr>
          <w:rFonts w:ascii="Arial" w:eastAsia="Arial" w:hAnsi="Arial" w:cs="Arial"/>
          <w:b/>
          <w:i/>
          <w:sz w:val="22"/>
          <w:szCs w:val="22"/>
        </w:rPr>
        <w:t>“Por medio del cual se crea el programa “Sonrisa rural”, orientado a mejorar la salud oral de las comunidades rurales de Bogotá.”</w:t>
      </w:r>
      <w:r>
        <w:rPr>
          <w:rFonts w:ascii="Arial" w:eastAsia="Arial" w:hAnsi="Arial" w:cs="Arial"/>
          <w:i/>
          <w:sz w:val="22"/>
          <w:szCs w:val="22"/>
        </w:rPr>
        <w:t xml:space="preserve"> </w:t>
      </w:r>
      <w:r>
        <w:rPr>
          <w:rFonts w:ascii="Arial" w:eastAsia="Arial" w:hAnsi="Arial" w:cs="Arial"/>
          <w:sz w:val="22"/>
          <w:szCs w:val="22"/>
        </w:rPr>
        <w:t>cuyo contenido y articulado presenta modificaciones respecto del texto radicado inicialmente.</w:t>
      </w:r>
    </w:p>
    <w:p w:rsidR="004B199D" w:rsidRDefault="004B199D">
      <w:pPr>
        <w:pBdr>
          <w:top w:val="nil"/>
          <w:left w:val="nil"/>
          <w:bottom w:val="nil"/>
          <w:right w:val="nil"/>
          <w:between w:val="nil"/>
        </w:pBdr>
        <w:spacing w:before="240" w:after="240"/>
        <w:jc w:val="both"/>
        <w:rPr>
          <w:rFonts w:ascii="Arial" w:eastAsia="Arial" w:hAnsi="Arial" w:cs="Arial"/>
          <w:sz w:val="22"/>
          <w:szCs w:val="22"/>
        </w:rPr>
      </w:pPr>
    </w:p>
    <w:p w:rsidR="004B199D" w:rsidRDefault="00AA0245">
      <w:pPr>
        <w:pBdr>
          <w:top w:val="nil"/>
          <w:left w:val="nil"/>
          <w:bottom w:val="nil"/>
          <w:right w:val="nil"/>
          <w:between w:val="nil"/>
        </w:pBdr>
        <w:spacing w:before="240" w:after="240"/>
        <w:jc w:val="both"/>
        <w:rPr>
          <w:rFonts w:ascii="Arial" w:eastAsia="Arial" w:hAnsi="Arial" w:cs="Arial"/>
          <w:sz w:val="22"/>
          <w:szCs w:val="22"/>
        </w:rPr>
      </w:pPr>
      <w:r>
        <w:rPr>
          <w:rFonts w:ascii="Arial" w:eastAsia="Arial" w:hAnsi="Arial" w:cs="Arial"/>
          <w:sz w:val="22"/>
          <w:szCs w:val="22"/>
        </w:rPr>
        <w:t>Cordialmente,</w:t>
      </w:r>
    </w:p>
    <w:p w:rsidR="004B199D" w:rsidRDefault="00AA0245">
      <w:pPr>
        <w:pBdr>
          <w:top w:val="nil"/>
          <w:left w:val="nil"/>
          <w:bottom w:val="nil"/>
          <w:right w:val="nil"/>
          <w:between w:val="nil"/>
        </w:pBdr>
        <w:spacing w:before="240"/>
        <w:jc w:val="both"/>
        <w:rPr>
          <w:rFonts w:ascii="Arial" w:eastAsia="Arial" w:hAnsi="Arial" w:cs="Arial"/>
          <w:sz w:val="22"/>
          <w:szCs w:val="22"/>
        </w:rPr>
      </w:pPr>
      <w:r>
        <w:rPr>
          <w:rFonts w:ascii="Arial" w:eastAsia="Arial" w:hAnsi="Arial" w:cs="Arial"/>
          <w:sz w:val="22"/>
          <w:szCs w:val="22"/>
        </w:rPr>
        <w:t> </w:t>
      </w:r>
    </w:p>
    <w:p w:rsidR="004B199D" w:rsidRDefault="004B199D">
      <w:pPr>
        <w:rPr>
          <w:rFonts w:ascii="Arial" w:eastAsia="Arial" w:hAnsi="Arial" w:cs="Arial"/>
          <w:sz w:val="22"/>
          <w:szCs w:val="22"/>
        </w:rPr>
      </w:pPr>
    </w:p>
    <w:p w:rsidR="004B199D" w:rsidRDefault="00AA0245">
      <w:pPr>
        <w:rPr>
          <w:rFonts w:ascii="Arial" w:eastAsia="Arial" w:hAnsi="Arial" w:cs="Arial"/>
          <w:b/>
          <w:noProof/>
          <w:sz w:val="22"/>
          <w:szCs w:val="22"/>
          <w:lang w:val="es-CO" w:eastAsia="es-CO"/>
        </w:rPr>
      </w:pPr>
      <w:r>
        <w:rPr>
          <w:rFonts w:ascii="Arial" w:eastAsia="Arial" w:hAnsi="Arial" w:cs="Arial"/>
          <w:b/>
          <w:sz w:val="22"/>
          <w:szCs w:val="22"/>
        </w:rPr>
        <w:t xml:space="preserve">                                                                                   </w:t>
      </w:r>
    </w:p>
    <w:p w:rsidR="00E87B62" w:rsidRDefault="00790143">
      <w:pPr>
        <w:rPr>
          <w:rFonts w:ascii="Arial" w:eastAsia="Arial" w:hAnsi="Arial" w:cs="Arial"/>
          <w:b/>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bookmarkStart w:id="0" w:name="_GoBack"/>
      <w:bookmarkEnd w:id="0"/>
    </w:p>
    <w:p w:rsidR="004B199D" w:rsidRDefault="00AA0245">
      <w:pPr>
        <w:rPr>
          <w:rFonts w:ascii="Arial" w:eastAsia="Arial" w:hAnsi="Arial" w:cs="Arial"/>
          <w:b/>
          <w:sz w:val="22"/>
          <w:szCs w:val="22"/>
        </w:rPr>
      </w:pPr>
      <w:r>
        <w:rPr>
          <w:rFonts w:ascii="Arial" w:eastAsia="Arial" w:hAnsi="Arial" w:cs="Arial"/>
          <w:b/>
          <w:sz w:val="22"/>
          <w:szCs w:val="22"/>
        </w:rPr>
        <w:t>JULIAN FORERO CASTELBLANCO                      ANDRÉS DARÍO ONZAGA NIÑO</w:t>
      </w:r>
    </w:p>
    <w:p w:rsidR="004B199D" w:rsidRDefault="00AA0245">
      <w:pPr>
        <w:rPr>
          <w:rFonts w:ascii="Arial" w:eastAsia="Arial" w:hAnsi="Arial" w:cs="Arial"/>
          <w:sz w:val="22"/>
          <w:szCs w:val="22"/>
        </w:rPr>
      </w:pPr>
      <w:r>
        <w:rPr>
          <w:rFonts w:ascii="Arial" w:eastAsia="Arial" w:hAnsi="Arial" w:cs="Arial"/>
          <w:sz w:val="22"/>
          <w:szCs w:val="22"/>
        </w:rPr>
        <w:t>Concejal de Bogotá                                                   Concejal de Bogotá</w:t>
      </w:r>
    </w:p>
    <w:p w:rsidR="004B199D" w:rsidRDefault="00AA0245">
      <w:pPr>
        <w:rPr>
          <w:rFonts w:ascii="Arial" w:eastAsia="Arial" w:hAnsi="Arial" w:cs="Arial"/>
          <w:sz w:val="22"/>
          <w:szCs w:val="22"/>
        </w:rPr>
      </w:pPr>
      <w:r>
        <w:rPr>
          <w:rFonts w:ascii="Arial" w:eastAsia="Arial" w:hAnsi="Arial" w:cs="Arial"/>
          <w:sz w:val="22"/>
          <w:szCs w:val="22"/>
        </w:rPr>
        <w:t>Partido Colombia Renaciente                                    Partido Alianza Verde</w:t>
      </w:r>
    </w:p>
    <w:p w:rsidR="004B199D" w:rsidRDefault="00AA0245">
      <w:pPr>
        <w:rPr>
          <w:rFonts w:ascii="Arial" w:eastAsia="Arial" w:hAnsi="Arial" w:cs="Arial"/>
          <w:b/>
          <w:sz w:val="22"/>
          <w:szCs w:val="22"/>
        </w:rPr>
      </w:pPr>
      <w:r>
        <w:rPr>
          <w:rFonts w:ascii="Arial" w:eastAsia="Arial" w:hAnsi="Arial" w:cs="Arial"/>
          <w:sz w:val="22"/>
          <w:szCs w:val="22"/>
        </w:rPr>
        <w:t>Ponente                                                                     coordinador</w:t>
      </w:r>
    </w:p>
    <w:p w:rsidR="004B199D" w:rsidRDefault="003D5B2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 xml:space="preserve">           </w:t>
      </w: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E87B62" w:rsidRDefault="00E87B62">
      <w:pPr>
        <w:pBdr>
          <w:top w:val="nil"/>
          <w:left w:val="nil"/>
          <w:bottom w:val="nil"/>
          <w:right w:val="nil"/>
          <w:between w:val="nil"/>
        </w:pBdr>
        <w:jc w:val="both"/>
        <w:rPr>
          <w:rFonts w:ascii="Arial" w:eastAsia="Arial" w:hAnsi="Arial" w:cs="Arial"/>
          <w:b/>
          <w:sz w:val="22"/>
          <w:szCs w:val="22"/>
        </w:rPr>
      </w:pPr>
    </w:p>
    <w:p w:rsidR="00E87B62" w:rsidRDefault="00E87B62">
      <w:pPr>
        <w:pBdr>
          <w:top w:val="nil"/>
          <w:left w:val="nil"/>
          <w:bottom w:val="nil"/>
          <w:right w:val="nil"/>
          <w:between w:val="nil"/>
        </w:pBdr>
        <w:jc w:val="both"/>
        <w:rPr>
          <w:rFonts w:ascii="Arial" w:eastAsia="Arial" w:hAnsi="Arial" w:cs="Arial"/>
          <w:b/>
          <w:sz w:val="22"/>
          <w:szCs w:val="22"/>
        </w:rPr>
      </w:pPr>
    </w:p>
    <w:p w:rsidR="00E87B62" w:rsidRDefault="00E87B62">
      <w:pPr>
        <w:pBdr>
          <w:top w:val="nil"/>
          <w:left w:val="nil"/>
          <w:bottom w:val="nil"/>
          <w:right w:val="nil"/>
          <w:between w:val="nil"/>
        </w:pBdr>
        <w:jc w:val="both"/>
        <w:rPr>
          <w:rFonts w:ascii="Arial" w:eastAsia="Arial" w:hAnsi="Arial" w:cs="Arial"/>
          <w:b/>
          <w:sz w:val="22"/>
          <w:szCs w:val="22"/>
        </w:rPr>
      </w:pPr>
    </w:p>
    <w:p w:rsidR="00E87B62" w:rsidRDefault="00E87B62">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pBdr>
          <w:top w:val="nil"/>
          <w:left w:val="nil"/>
          <w:bottom w:val="nil"/>
          <w:right w:val="nil"/>
          <w:between w:val="nil"/>
        </w:pBdr>
        <w:jc w:val="both"/>
        <w:rPr>
          <w:rFonts w:ascii="Arial" w:eastAsia="Arial" w:hAnsi="Arial" w:cs="Arial"/>
          <w:b/>
          <w:sz w:val="22"/>
          <w:szCs w:val="22"/>
        </w:rPr>
      </w:pPr>
    </w:p>
    <w:p w:rsidR="004B199D" w:rsidRDefault="004B199D">
      <w:pPr>
        <w:spacing w:line="276" w:lineRule="auto"/>
        <w:jc w:val="both"/>
        <w:rPr>
          <w:rFonts w:ascii="Arial" w:eastAsia="Arial" w:hAnsi="Arial" w:cs="Arial"/>
          <w:sz w:val="22"/>
          <w:szCs w:val="22"/>
        </w:rPr>
      </w:pPr>
    </w:p>
    <w:p w:rsidR="004B199D" w:rsidRDefault="00AA0245">
      <w:pPr>
        <w:spacing w:line="276" w:lineRule="auto"/>
        <w:jc w:val="center"/>
        <w:rPr>
          <w:rFonts w:ascii="Arial" w:eastAsia="Arial" w:hAnsi="Arial" w:cs="Arial"/>
          <w:b/>
          <w:sz w:val="22"/>
          <w:szCs w:val="22"/>
        </w:rPr>
      </w:pPr>
      <w:r>
        <w:rPr>
          <w:rFonts w:ascii="Arial" w:eastAsia="Arial" w:hAnsi="Arial" w:cs="Arial"/>
          <w:b/>
          <w:sz w:val="22"/>
          <w:szCs w:val="22"/>
        </w:rPr>
        <w:t>PROYECTO DE PLIEGO MODIFICATORIO</w:t>
      </w:r>
    </w:p>
    <w:p w:rsidR="004B199D" w:rsidRDefault="004B199D">
      <w:pPr>
        <w:spacing w:line="276" w:lineRule="auto"/>
        <w:jc w:val="center"/>
        <w:rPr>
          <w:rFonts w:ascii="Arial" w:eastAsia="Arial" w:hAnsi="Arial" w:cs="Arial"/>
          <w:sz w:val="22"/>
          <w:szCs w:val="22"/>
        </w:rPr>
      </w:pPr>
    </w:p>
    <w:tbl>
      <w:tblPr>
        <w:tblStyle w:val="a"/>
        <w:tblW w:w="878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1"/>
        <w:gridCol w:w="3259"/>
        <w:gridCol w:w="2553"/>
      </w:tblGrid>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jc w:val="center"/>
              <w:rPr>
                <w:rFonts w:ascii="Arial" w:eastAsia="Arial" w:hAnsi="Arial" w:cs="Arial"/>
                <w:b/>
                <w:sz w:val="22"/>
                <w:szCs w:val="22"/>
              </w:rPr>
            </w:pPr>
            <w:r>
              <w:rPr>
                <w:rFonts w:ascii="Arial" w:eastAsia="Arial" w:hAnsi="Arial" w:cs="Arial"/>
                <w:b/>
                <w:sz w:val="22"/>
                <w:szCs w:val="22"/>
              </w:rPr>
              <w:t>TEXTO ORIGINAL</w:t>
            </w: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jc w:val="center"/>
              <w:rPr>
                <w:rFonts w:ascii="Arial" w:eastAsia="Arial" w:hAnsi="Arial" w:cs="Arial"/>
                <w:b/>
                <w:sz w:val="22"/>
                <w:szCs w:val="22"/>
              </w:rPr>
            </w:pPr>
            <w:r>
              <w:rPr>
                <w:rFonts w:ascii="Arial" w:eastAsia="Arial" w:hAnsi="Arial" w:cs="Arial"/>
                <w:b/>
                <w:sz w:val="22"/>
                <w:szCs w:val="22"/>
              </w:rPr>
              <w:t xml:space="preserve">MODIFICACIÓN PROPUESTA </w:t>
            </w:r>
          </w:p>
          <w:p w:rsidR="004B199D" w:rsidRDefault="00AA0245">
            <w:pPr>
              <w:jc w:val="center"/>
              <w:rPr>
                <w:rFonts w:ascii="Arial" w:eastAsia="Arial" w:hAnsi="Arial" w:cs="Arial"/>
                <w:b/>
                <w:sz w:val="22"/>
                <w:szCs w:val="22"/>
              </w:rPr>
            </w:pPr>
            <w:r>
              <w:rPr>
                <w:rFonts w:ascii="Arial" w:eastAsia="Arial" w:hAnsi="Arial" w:cs="Arial"/>
                <w:b/>
                <w:sz w:val="22"/>
                <w:szCs w:val="22"/>
              </w:rPr>
              <w:t>POR PONENTES</w:t>
            </w:r>
          </w:p>
        </w:tc>
        <w:tc>
          <w:tcPr>
            <w:tcW w:w="2553" w:type="dxa"/>
            <w:tcBorders>
              <w:top w:val="single" w:sz="4" w:space="0" w:color="000000"/>
              <w:left w:val="single" w:sz="4" w:space="0" w:color="000000"/>
              <w:bottom w:val="single" w:sz="4" w:space="0" w:color="000000"/>
              <w:right w:val="single" w:sz="4" w:space="0" w:color="000000"/>
            </w:tcBorders>
          </w:tcPr>
          <w:p w:rsidR="004B199D" w:rsidRDefault="00AA0245">
            <w:pPr>
              <w:jc w:val="center"/>
              <w:rPr>
                <w:rFonts w:ascii="Arial" w:eastAsia="Arial" w:hAnsi="Arial" w:cs="Arial"/>
                <w:b/>
                <w:sz w:val="22"/>
                <w:szCs w:val="22"/>
              </w:rPr>
            </w:pPr>
            <w:r>
              <w:rPr>
                <w:rFonts w:ascii="Arial" w:eastAsia="Arial" w:hAnsi="Arial" w:cs="Arial"/>
                <w:b/>
                <w:sz w:val="22"/>
                <w:szCs w:val="22"/>
              </w:rPr>
              <w:t>OBSERVACIONES</w:t>
            </w: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spacing w:line="254" w:lineRule="auto"/>
              <w:ind w:right="36"/>
              <w:jc w:val="center"/>
              <w:rPr>
                <w:rFonts w:ascii="Arial" w:eastAsia="Arial" w:hAnsi="Arial" w:cs="Arial"/>
                <w:b/>
                <w:sz w:val="22"/>
                <w:szCs w:val="22"/>
              </w:rPr>
            </w:pPr>
            <w:r>
              <w:rPr>
                <w:rFonts w:ascii="Arial" w:eastAsia="Arial" w:hAnsi="Arial" w:cs="Arial"/>
                <w:b/>
                <w:sz w:val="22"/>
                <w:szCs w:val="22"/>
              </w:rPr>
              <w:t>POR MEDIO DEL CUAL SE CREA EL PROGRAMA "SONRISA RURAL", ORIENTADO A MEJORAR LA SALUD ORAL DE LAS COMUNIDADES RURALES DE BOGOTÁ</w:t>
            </w:r>
          </w:p>
        </w:tc>
        <w:tc>
          <w:tcPr>
            <w:tcW w:w="3259" w:type="dxa"/>
            <w:tcBorders>
              <w:top w:val="single" w:sz="4" w:space="0" w:color="000000"/>
              <w:left w:val="single" w:sz="4" w:space="0" w:color="000000"/>
              <w:bottom w:val="single" w:sz="4" w:space="0" w:color="000000"/>
              <w:right w:val="single" w:sz="4" w:space="0" w:color="000000"/>
            </w:tcBorders>
          </w:tcPr>
          <w:p w:rsidR="004B199D" w:rsidRDefault="004B199D">
            <w:pPr>
              <w:jc w:val="center"/>
              <w:rPr>
                <w:rFonts w:ascii="Arial" w:eastAsia="Arial" w:hAnsi="Arial" w:cs="Arial"/>
                <w:b/>
                <w:sz w:val="22"/>
                <w:szCs w:val="22"/>
              </w:rPr>
            </w:pPr>
          </w:p>
        </w:tc>
        <w:tc>
          <w:tcPr>
            <w:tcW w:w="2553" w:type="dxa"/>
            <w:tcBorders>
              <w:top w:val="single" w:sz="4" w:space="0" w:color="000000"/>
              <w:left w:val="single" w:sz="4" w:space="0" w:color="000000"/>
              <w:bottom w:val="single" w:sz="4" w:space="0" w:color="000000"/>
              <w:right w:val="single" w:sz="4" w:space="0" w:color="000000"/>
            </w:tcBorders>
          </w:tcPr>
          <w:p w:rsidR="004B199D" w:rsidRDefault="004B199D">
            <w:pPr>
              <w:jc w:val="center"/>
              <w:rPr>
                <w:rFonts w:ascii="Arial" w:eastAsia="Arial" w:hAnsi="Arial" w:cs="Arial"/>
                <w:b/>
                <w:sz w:val="22"/>
                <w:szCs w:val="22"/>
              </w:rPr>
            </w:pP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4B199D">
            <w:pPr>
              <w:spacing w:line="254" w:lineRule="auto"/>
              <w:ind w:right="36"/>
              <w:jc w:val="center"/>
              <w:rPr>
                <w:rFonts w:ascii="Arial" w:eastAsia="Arial" w:hAnsi="Arial" w:cs="Arial"/>
                <w:sz w:val="22"/>
                <w:szCs w:val="22"/>
              </w:rPr>
            </w:pP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spacing w:line="254" w:lineRule="auto"/>
              <w:ind w:right="36"/>
              <w:jc w:val="center"/>
              <w:rPr>
                <w:rFonts w:ascii="Arial" w:eastAsia="Arial" w:hAnsi="Arial" w:cs="Arial"/>
                <w:b/>
                <w:sz w:val="22"/>
                <w:szCs w:val="22"/>
              </w:rPr>
            </w:pPr>
            <w:r>
              <w:rPr>
                <w:rFonts w:ascii="Arial" w:eastAsia="Arial" w:hAnsi="Arial" w:cs="Arial"/>
                <w:b/>
                <w:sz w:val="22"/>
                <w:szCs w:val="22"/>
              </w:rPr>
              <w:t>EL CONCEJO DE BOGOTÁ, D.C.</w:t>
            </w:r>
          </w:p>
          <w:p w:rsidR="004B199D" w:rsidRDefault="004B199D">
            <w:pPr>
              <w:spacing w:line="254" w:lineRule="auto"/>
              <w:ind w:right="36"/>
              <w:jc w:val="center"/>
              <w:rPr>
                <w:rFonts w:ascii="Arial" w:eastAsia="Arial" w:hAnsi="Arial" w:cs="Arial"/>
                <w:b/>
                <w:sz w:val="22"/>
                <w:szCs w:val="22"/>
              </w:rPr>
            </w:pPr>
          </w:p>
          <w:p w:rsidR="004B199D" w:rsidRDefault="00AA0245">
            <w:pPr>
              <w:spacing w:line="254" w:lineRule="auto"/>
              <w:ind w:right="36"/>
              <w:jc w:val="center"/>
              <w:rPr>
                <w:rFonts w:ascii="Arial" w:eastAsia="Arial" w:hAnsi="Arial" w:cs="Arial"/>
                <w:sz w:val="22"/>
                <w:szCs w:val="22"/>
              </w:rPr>
            </w:pPr>
            <w:r>
              <w:rPr>
                <w:rFonts w:ascii="Arial" w:eastAsia="Arial" w:hAnsi="Arial" w:cs="Arial"/>
                <w:sz w:val="22"/>
                <w:szCs w:val="22"/>
              </w:rPr>
              <w:t xml:space="preserve">En uso de sus atribuciones constitucionales y legales, y en especial las que le confieren los numerales </w:t>
            </w:r>
            <w:proofErr w:type="gramStart"/>
            <w:r>
              <w:rPr>
                <w:rFonts w:ascii="Arial" w:eastAsia="Arial" w:hAnsi="Arial" w:cs="Arial"/>
                <w:sz w:val="22"/>
                <w:szCs w:val="22"/>
              </w:rPr>
              <w:t>1  del</w:t>
            </w:r>
            <w:proofErr w:type="gramEnd"/>
            <w:r>
              <w:rPr>
                <w:rFonts w:ascii="Arial" w:eastAsia="Arial" w:hAnsi="Arial" w:cs="Arial"/>
                <w:sz w:val="22"/>
                <w:szCs w:val="22"/>
              </w:rPr>
              <w:t xml:space="preserve"> artículo 12 del Decreto Ley 1421 de 1993</w:t>
            </w:r>
          </w:p>
          <w:p w:rsidR="004B199D" w:rsidRDefault="004B199D">
            <w:pPr>
              <w:jc w:val="center"/>
              <w:rPr>
                <w:rFonts w:ascii="Arial" w:eastAsia="Arial" w:hAnsi="Arial" w:cs="Arial"/>
                <w:b/>
                <w:sz w:val="22"/>
                <w:szCs w:val="22"/>
              </w:rPr>
            </w:pPr>
          </w:p>
        </w:tc>
        <w:tc>
          <w:tcPr>
            <w:tcW w:w="2553" w:type="dxa"/>
            <w:tcBorders>
              <w:top w:val="single" w:sz="4" w:space="0" w:color="000000"/>
              <w:left w:val="single" w:sz="4" w:space="0" w:color="000000"/>
              <w:bottom w:val="single" w:sz="4" w:space="0" w:color="000000"/>
              <w:right w:val="single" w:sz="4" w:space="0" w:color="000000"/>
            </w:tcBorders>
          </w:tcPr>
          <w:p w:rsidR="004B199D" w:rsidRDefault="00AA0245">
            <w:pPr>
              <w:jc w:val="center"/>
              <w:rPr>
                <w:rFonts w:ascii="Arial" w:eastAsia="Arial" w:hAnsi="Arial" w:cs="Arial"/>
                <w:b/>
                <w:sz w:val="22"/>
                <w:szCs w:val="22"/>
              </w:rPr>
            </w:pPr>
            <w:r>
              <w:rPr>
                <w:rFonts w:ascii="Arial" w:eastAsia="Arial" w:hAnsi="Arial" w:cs="Arial"/>
                <w:b/>
                <w:sz w:val="22"/>
                <w:szCs w:val="22"/>
              </w:rPr>
              <w:t>Se incluyen las atribuciones</w:t>
            </w: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sz w:val="22"/>
                <w:szCs w:val="22"/>
              </w:rPr>
            </w:pPr>
            <w:r>
              <w:rPr>
                <w:rFonts w:ascii="Arial" w:eastAsia="Arial" w:hAnsi="Arial" w:cs="Arial"/>
                <w:b/>
                <w:sz w:val="22"/>
                <w:szCs w:val="22"/>
              </w:rPr>
              <w:t xml:space="preserve">ARTÍCULO 1.  Objeto. </w:t>
            </w:r>
            <w:r>
              <w:rPr>
                <w:rFonts w:ascii="Arial" w:eastAsia="Arial" w:hAnsi="Arial" w:cs="Arial"/>
                <w:sz w:val="22"/>
                <w:szCs w:val="22"/>
              </w:rPr>
              <w:t>El presente acuerdo tiene como objetivo crear e implementar el programa "Sonrisa Rural", orientado a mejorar la salud oral de las comunidades rurales de Bogotá.</w:t>
            </w:r>
          </w:p>
          <w:p w:rsidR="004B199D" w:rsidRDefault="004B199D">
            <w:pPr>
              <w:jc w:val="both"/>
              <w:rPr>
                <w:rFonts w:ascii="Arial" w:eastAsia="Arial" w:hAnsi="Arial" w:cs="Arial"/>
                <w:sz w:val="22"/>
                <w:szCs w:val="22"/>
              </w:rPr>
            </w:pP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b/>
                <w:sz w:val="22"/>
                <w:szCs w:val="22"/>
              </w:rPr>
            </w:pPr>
            <w:r>
              <w:rPr>
                <w:rFonts w:ascii="Arial" w:eastAsia="Arial" w:hAnsi="Arial" w:cs="Arial"/>
                <w:b/>
                <w:sz w:val="22"/>
                <w:szCs w:val="22"/>
              </w:rPr>
              <w:t>Sin modificaciones</w:t>
            </w:r>
          </w:p>
        </w:tc>
        <w:tc>
          <w:tcPr>
            <w:tcW w:w="2553" w:type="dxa"/>
            <w:tcBorders>
              <w:top w:val="single" w:sz="4" w:space="0" w:color="000000"/>
              <w:left w:val="single" w:sz="4" w:space="0" w:color="000000"/>
              <w:bottom w:val="single" w:sz="4" w:space="0" w:color="000000"/>
              <w:right w:val="single" w:sz="4" w:space="0" w:color="000000"/>
            </w:tcBorders>
          </w:tcPr>
          <w:p w:rsidR="004B199D" w:rsidRDefault="004B199D">
            <w:pPr>
              <w:jc w:val="both"/>
              <w:rPr>
                <w:rFonts w:ascii="Arial" w:eastAsia="Arial" w:hAnsi="Arial" w:cs="Arial"/>
                <w:b/>
                <w:sz w:val="22"/>
                <w:szCs w:val="22"/>
              </w:rPr>
            </w:pP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t>Artículo 2. Principios.,</w:t>
            </w:r>
            <w:r>
              <w:rPr>
                <w:rFonts w:ascii="Arial" w:eastAsia="Arial" w:hAnsi="Arial" w:cs="Arial"/>
                <w:sz w:val="22"/>
                <w:szCs w:val="22"/>
              </w:rPr>
              <w:t xml:space="preserve"> El programa “Sonrisa Rural” se regirá por los siguientes principios: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1.</w:t>
            </w:r>
            <w:r>
              <w:rPr>
                <w:rFonts w:ascii="Arial" w:eastAsia="Arial" w:hAnsi="Arial" w:cs="Arial"/>
                <w:sz w:val="22"/>
                <w:szCs w:val="22"/>
              </w:rPr>
              <w:tab/>
              <w:t xml:space="preserve">Accesibilidad: Garantizar que las comunidades rurales tengan </w:t>
            </w:r>
            <w:r>
              <w:rPr>
                <w:rFonts w:ascii="Arial" w:eastAsia="Arial" w:hAnsi="Arial" w:cs="Arial"/>
                <w:sz w:val="22"/>
                <w:szCs w:val="22"/>
              </w:rPr>
              <w:lastRenderedPageBreak/>
              <w:t>acceso a programas de salud oral adecuados a sus necesidades.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2.</w:t>
            </w:r>
            <w:r>
              <w:rPr>
                <w:rFonts w:ascii="Arial" w:eastAsia="Arial" w:hAnsi="Arial" w:cs="Arial"/>
                <w:sz w:val="22"/>
                <w:szCs w:val="22"/>
              </w:rPr>
              <w:tab/>
              <w:t>Equidad: Brindar servicios priorizando a las poblaciones más vulnerables.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3.</w:t>
            </w:r>
            <w:r>
              <w:rPr>
                <w:rFonts w:ascii="Arial" w:eastAsia="Arial" w:hAnsi="Arial" w:cs="Arial"/>
                <w:sz w:val="22"/>
                <w:szCs w:val="22"/>
              </w:rPr>
              <w:tab/>
              <w:t>Participación Comunitaria: Fomentar el compromiso de las comunidades mediante formación y autogestión.</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4.</w:t>
            </w:r>
            <w:r>
              <w:rPr>
                <w:rFonts w:ascii="Arial" w:eastAsia="Arial" w:hAnsi="Arial" w:cs="Arial"/>
                <w:sz w:val="22"/>
                <w:szCs w:val="22"/>
              </w:rPr>
              <w:tab/>
              <w:t>Sostenibilidad: Implementar soluciones basadas en alianzas y recursos existentes en el presupuesto público.</w:t>
            </w:r>
          </w:p>
          <w:p w:rsidR="004B199D" w:rsidRDefault="004B199D">
            <w:pPr>
              <w:pBdr>
                <w:top w:val="nil"/>
                <w:left w:val="nil"/>
                <w:bottom w:val="nil"/>
                <w:right w:val="nil"/>
                <w:between w:val="nil"/>
              </w:pBdr>
              <w:spacing w:before="92"/>
              <w:jc w:val="both"/>
              <w:rPr>
                <w:rFonts w:ascii="Arial" w:eastAsia="Arial" w:hAnsi="Arial" w:cs="Arial"/>
                <w:sz w:val="22"/>
                <w:szCs w:val="22"/>
              </w:rPr>
            </w:pPr>
          </w:p>
          <w:p w:rsidR="004B199D" w:rsidRDefault="004B199D">
            <w:pPr>
              <w:pBdr>
                <w:top w:val="nil"/>
                <w:left w:val="nil"/>
                <w:bottom w:val="nil"/>
                <w:right w:val="nil"/>
                <w:between w:val="nil"/>
              </w:pBdr>
              <w:spacing w:before="92"/>
              <w:jc w:val="both"/>
              <w:rPr>
                <w:rFonts w:ascii="Arial" w:eastAsia="Arial" w:hAnsi="Arial" w:cs="Arial"/>
                <w:sz w:val="22"/>
                <w:szCs w:val="22"/>
              </w:rPr>
            </w:pP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lastRenderedPageBreak/>
              <w:t>Artículo 2. Principios.,</w:t>
            </w:r>
            <w:r>
              <w:rPr>
                <w:rFonts w:ascii="Arial" w:eastAsia="Arial" w:hAnsi="Arial" w:cs="Arial"/>
                <w:sz w:val="22"/>
                <w:szCs w:val="22"/>
              </w:rPr>
              <w:t xml:space="preserve"> El programa “Sonrisa Rural” se regirá por los siguientes principios:</w:t>
            </w:r>
          </w:p>
          <w:p w:rsidR="004B199D" w:rsidRDefault="00AA0245">
            <w:pPr>
              <w:pBdr>
                <w:top w:val="nil"/>
                <w:left w:val="nil"/>
                <w:bottom w:val="nil"/>
                <w:right w:val="nil"/>
                <w:between w:val="nil"/>
              </w:pBdr>
              <w:spacing w:before="92"/>
              <w:jc w:val="both"/>
              <w:rPr>
                <w:rFonts w:ascii="Arial" w:eastAsia="Arial" w:hAnsi="Arial" w:cs="Arial"/>
                <w:color w:val="FF0000"/>
                <w:sz w:val="22"/>
                <w:szCs w:val="22"/>
              </w:rPr>
            </w:pPr>
            <w:r>
              <w:rPr>
                <w:rFonts w:ascii="Arial" w:eastAsia="Arial" w:hAnsi="Arial" w:cs="Arial"/>
                <w:sz w:val="22"/>
                <w:szCs w:val="22"/>
              </w:rPr>
              <w:t>1.</w:t>
            </w:r>
            <w:r>
              <w:rPr>
                <w:rFonts w:ascii="Arial" w:eastAsia="Arial" w:hAnsi="Arial" w:cs="Arial"/>
                <w:sz w:val="22"/>
                <w:szCs w:val="22"/>
              </w:rPr>
              <w:tab/>
              <w:t xml:space="preserve">Accesibilidad: Garantizar que las comunidades rurales tengan </w:t>
            </w:r>
            <w:r>
              <w:rPr>
                <w:rFonts w:ascii="Arial" w:eastAsia="Arial" w:hAnsi="Arial" w:cs="Arial"/>
                <w:sz w:val="22"/>
                <w:szCs w:val="22"/>
              </w:rPr>
              <w:lastRenderedPageBreak/>
              <w:t xml:space="preserve">acceso a programas de salud oral adecuados a sus necesidades. </w:t>
            </w:r>
            <w:r>
              <w:rPr>
                <w:rFonts w:ascii="Arial" w:eastAsia="Arial" w:hAnsi="Arial" w:cs="Arial"/>
                <w:color w:val="FF0000"/>
                <w:sz w:val="22"/>
                <w:szCs w:val="22"/>
              </w:rPr>
              <w:t>Teniendo en cuenta los ajustes razonables para las personas con discapacidad.</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2.</w:t>
            </w:r>
            <w:r>
              <w:rPr>
                <w:rFonts w:ascii="Arial" w:eastAsia="Arial" w:hAnsi="Arial" w:cs="Arial"/>
                <w:sz w:val="22"/>
                <w:szCs w:val="22"/>
              </w:rPr>
              <w:tab/>
              <w:t>Equidad: Brindar servicios priorizando a las poblaciones más vulnerables.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3.</w:t>
            </w:r>
            <w:r>
              <w:rPr>
                <w:rFonts w:ascii="Arial" w:eastAsia="Arial" w:hAnsi="Arial" w:cs="Arial"/>
                <w:sz w:val="22"/>
                <w:szCs w:val="22"/>
              </w:rPr>
              <w:tab/>
              <w:t>Participación Comunitaria: Fomentar el compromiso de las comunidades mediante formación y autogestión.</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4.</w:t>
            </w:r>
            <w:r>
              <w:rPr>
                <w:rFonts w:ascii="Arial" w:eastAsia="Arial" w:hAnsi="Arial" w:cs="Arial"/>
                <w:sz w:val="22"/>
                <w:szCs w:val="22"/>
              </w:rPr>
              <w:tab/>
              <w:t>Sostenibilidad: Implementar soluciones basadas en alianzas y recursos existentes en el presupuesto público.</w:t>
            </w:r>
          </w:p>
          <w:p w:rsidR="004B199D" w:rsidRDefault="004B199D">
            <w:pPr>
              <w:pBdr>
                <w:top w:val="nil"/>
                <w:left w:val="nil"/>
                <w:bottom w:val="nil"/>
                <w:right w:val="nil"/>
                <w:between w:val="nil"/>
              </w:pBdr>
              <w:spacing w:before="92"/>
              <w:jc w:val="both"/>
              <w:rPr>
                <w:rFonts w:ascii="Arial" w:eastAsia="Arial" w:hAnsi="Arial" w:cs="Arial"/>
                <w:sz w:val="22"/>
                <w:szCs w:val="22"/>
              </w:rPr>
            </w:pPr>
          </w:p>
          <w:p w:rsidR="004B199D" w:rsidRDefault="004B199D">
            <w:pPr>
              <w:jc w:val="both"/>
              <w:rPr>
                <w:rFonts w:ascii="Arial" w:eastAsia="Arial" w:hAnsi="Arial" w:cs="Arial"/>
                <w:sz w:val="22"/>
                <w:szCs w:val="22"/>
              </w:rPr>
            </w:pPr>
          </w:p>
        </w:tc>
        <w:tc>
          <w:tcPr>
            <w:tcW w:w="2553"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b/>
                <w:sz w:val="22"/>
                <w:szCs w:val="22"/>
              </w:rPr>
            </w:pPr>
            <w:r>
              <w:rPr>
                <w:rFonts w:ascii="Arial" w:eastAsia="Arial" w:hAnsi="Arial" w:cs="Arial"/>
                <w:b/>
                <w:sz w:val="22"/>
                <w:szCs w:val="22"/>
              </w:rPr>
              <w:lastRenderedPageBreak/>
              <w:t>Se incluye a las personas con discapacidad y los ajustes razonables.</w:t>
            </w: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lastRenderedPageBreak/>
              <w:t>Artículo 3. Componentes del Programa “Sonrisa Rural”.,</w:t>
            </w:r>
            <w:r>
              <w:rPr>
                <w:rFonts w:ascii="Arial" w:eastAsia="Arial" w:hAnsi="Arial" w:cs="Arial"/>
                <w:sz w:val="22"/>
                <w:szCs w:val="22"/>
              </w:rPr>
              <w:t xml:space="preserve"> El programa propenderá por contar con los siguientes componentes:</w:t>
            </w:r>
          </w:p>
          <w:p w:rsidR="004B199D" w:rsidRDefault="00AA0245">
            <w:pPr>
              <w:pBdr>
                <w:top w:val="nil"/>
                <w:left w:val="nil"/>
                <w:bottom w:val="nil"/>
                <w:right w:val="nil"/>
                <w:between w:val="nil"/>
              </w:pBdr>
              <w:spacing w:before="92"/>
              <w:jc w:val="both"/>
              <w:rPr>
                <w:rFonts w:ascii="Arial" w:eastAsia="Arial" w:hAnsi="Arial" w:cs="Arial"/>
                <w:b/>
                <w:sz w:val="22"/>
                <w:szCs w:val="22"/>
              </w:rPr>
            </w:pPr>
            <w:r>
              <w:rPr>
                <w:rFonts w:ascii="Arial" w:eastAsia="Arial" w:hAnsi="Arial" w:cs="Arial"/>
                <w:b/>
                <w:sz w:val="22"/>
                <w:szCs w:val="22"/>
              </w:rPr>
              <w:t>1.</w:t>
            </w:r>
            <w:r>
              <w:rPr>
                <w:rFonts w:ascii="Arial" w:eastAsia="Arial" w:hAnsi="Arial" w:cs="Arial"/>
                <w:b/>
                <w:sz w:val="22"/>
                <w:szCs w:val="22"/>
              </w:rPr>
              <w:tab/>
              <w:t>Educación y Prevención:</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a. Capacitaciones de líderes comunitarios para formar Guardianes de la Sonrisa Rural.</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b. Campañas educativas en instituciones educativas rurales, centros comunitarios y medios locales.</w:t>
            </w:r>
          </w:p>
          <w:p w:rsidR="004B199D" w:rsidRDefault="004B199D">
            <w:pPr>
              <w:pBdr>
                <w:top w:val="nil"/>
                <w:left w:val="nil"/>
                <w:bottom w:val="nil"/>
                <w:right w:val="nil"/>
                <w:between w:val="nil"/>
              </w:pBdr>
              <w:spacing w:before="92"/>
              <w:jc w:val="both"/>
              <w:rPr>
                <w:rFonts w:ascii="Arial" w:eastAsia="Arial" w:hAnsi="Arial" w:cs="Arial"/>
                <w:sz w:val="22"/>
                <w:szCs w:val="22"/>
              </w:rPr>
            </w:pPr>
          </w:p>
          <w:p w:rsidR="004B199D" w:rsidRDefault="00AA0245">
            <w:pPr>
              <w:pBdr>
                <w:top w:val="nil"/>
                <w:left w:val="nil"/>
                <w:bottom w:val="nil"/>
                <w:right w:val="nil"/>
                <w:between w:val="nil"/>
              </w:pBdr>
              <w:spacing w:before="92"/>
              <w:jc w:val="both"/>
              <w:rPr>
                <w:rFonts w:ascii="Arial" w:eastAsia="Arial" w:hAnsi="Arial" w:cs="Arial"/>
                <w:b/>
                <w:sz w:val="22"/>
                <w:szCs w:val="22"/>
              </w:rPr>
            </w:pPr>
            <w:r>
              <w:rPr>
                <w:rFonts w:ascii="Arial" w:eastAsia="Arial" w:hAnsi="Arial" w:cs="Arial"/>
                <w:b/>
                <w:sz w:val="22"/>
                <w:szCs w:val="22"/>
              </w:rPr>
              <w:lastRenderedPageBreak/>
              <w:t>2.</w:t>
            </w:r>
            <w:r>
              <w:rPr>
                <w:rFonts w:ascii="Arial" w:eastAsia="Arial" w:hAnsi="Arial" w:cs="Arial"/>
                <w:b/>
                <w:sz w:val="22"/>
                <w:szCs w:val="22"/>
              </w:rPr>
              <w:tab/>
              <w:t>Banco de Prótesis Dentales: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t>a. La creación</w:t>
            </w:r>
            <w:r>
              <w:rPr>
                <w:rFonts w:ascii="Arial" w:eastAsia="Arial" w:hAnsi="Arial" w:cs="Arial"/>
                <w:sz w:val="22"/>
                <w:szCs w:val="22"/>
              </w:rPr>
              <w:t xml:space="preserve"> de un banco de prótesis basado en donaciones y reciclaje, ajustadas por universidades con programas de odontología.</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b. Organización de talleres comunitarios para fabricar prótesis con métodos accesibles.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3.</w:t>
            </w:r>
            <w:r>
              <w:rPr>
                <w:rFonts w:ascii="Arial" w:eastAsia="Arial" w:hAnsi="Arial" w:cs="Arial"/>
                <w:sz w:val="22"/>
                <w:szCs w:val="22"/>
              </w:rPr>
              <w:tab/>
            </w:r>
            <w:r>
              <w:rPr>
                <w:rFonts w:ascii="Arial" w:eastAsia="Arial" w:hAnsi="Arial" w:cs="Arial"/>
                <w:b/>
                <w:sz w:val="22"/>
                <w:szCs w:val="22"/>
              </w:rPr>
              <w:t>Jornadas Móviles de Atención Oral:</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a. Uso de unidades odontológicas móviles para visitas periódicas, en alianza con entidades privadas y educativas.</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b. Prestación de servicios básicos, limpiezas dentales, chequeos y adaptación de prótesis en las jornadas.</w:t>
            </w:r>
          </w:p>
          <w:p w:rsidR="004B199D" w:rsidRDefault="00AA0245">
            <w:pPr>
              <w:pBdr>
                <w:top w:val="nil"/>
                <w:left w:val="nil"/>
                <w:bottom w:val="nil"/>
                <w:right w:val="nil"/>
                <w:between w:val="nil"/>
              </w:pBdr>
              <w:spacing w:before="92"/>
              <w:jc w:val="both"/>
              <w:rPr>
                <w:rFonts w:ascii="Arial" w:eastAsia="Arial" w:hAnsi="Arial" w:cs="Arial"/>
                <w:b/>
                <w:sz w:val="22"/>
                <w:szCs w:val="22"/>
              </w:rPr>
            </w:pPr>
            <w:r>
              <w:rPr>
                <w:rFonts w:ascii="Arial" w:eastAsia="Arial" w:hAnsi="Arial" w:cs="Arial"/>
                <w:b/>
                <w:sz w:val="22"/>
                <w:szCs w:val="22"/>
              </w:rPr>
              <w:t>4.</w:t>
            </w:r>
            <w:r>
              <w:rPr>
                <w:rFonts w:ascii="Arial" w:eastAsia="Arial" w:hAnsi="Arial" w:cs="Arial"/>
                <w:b/>
                <w:sz w:val="22"/>
                <w:szCs w:val="22"/>
              </w:rPr>
              <w:tab/>
              <w:t>Reconocimiento y Autogestión:</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a. Implementación de sistemas de contribuciones comunitarias no monetarias para garantizar el mantenimiento del programa.</w:t>
            </w:r>
          </w:p>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sz w:val="22"/>
                <w:szCs w:val="22"/>
              </w:rPr>
              <w:t>b. Crear un reconocimiento público a empresas y organizaciones que apoyen el programa.</w:t>
            </w: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b/>
                <w:sz w:val="22"/>
                <w:szCs w:val="22"/>
              </w:rPr>
            </w:pPr>
            <w:r>
              <w:rPr>
                <w:rFonts w:ascii="Arial" w:eastAsia="Arial" w:hAnsi="Arial" w:cs="Arial"/>
                <w:b/>
                <w:sz w:val="22"/>
                <w:szCs w:val="22"/>
              </w:rPr>
              <w:lastRenderedPageBreak/>
              <w:t>Sin modificaciones</w:t>
            </w:r>
          </w:p>
        </w:tc>
        <w:tc>
          <w:tcPr>
            <w:tcW w:w="2553" w:type="dxa"/>
            <w:tcBorders>
              <w:top w:val="single" w:sz="4" w:space="0" w:color="000000"/>
              <w:left w:val="single" w:sz="4" w:space="0" w:color="000000"/>
              <w:bottom w:val="single" w:sz="4" w:space="0" w:color="000000"/>
              <w:right w:val="single" w:sz="4" w:space="0" w:color="000000"/>
            </w:tcBorders>
          </w:tcPr>
          <w:p w:rsidR="004B199D" w:rsidRDefault="004B199D">
            <w:pPr>
              <w:jc w:val="both"/>
              <w:rPr>
                <w:rFonts w:ascii="Arial" w:eastAsia="Arial" w:hAnsi="Arial" w:cs="Arial"/>
                <w:b/>
                <w:sz w:val="22"/>
                <w:szCs w:val="22"/>
              </w:rPr>
            </w:pP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t xml:space="preserve">ARTÍCULO 4. Alianzas Estratégicas. </w:t>
            </w:r>
            <w:r>
              <w:rPr>
                <w:rFonts w:ascii="Arial" w:eastAsia="Arial" w:hAnsi="Arial" w:cs="Arial"/>
                <w:sz w:val="22"/>
                <w:szCs w:val="22"/>
              </w:rPr>
              <w:t xml:space="preserve">La Secretaría de Salud propenderá por gestionar convenios de </w:t>
            </w:r>
            <w:r>
              <w:rPr>
                <w:rFonts w:ascii="Arial" w:eastAsia="Arial" w:hAnsi="Arial" w:cs="Arial"/>
                <w:sz w:val="22"/>
                <w:szCs w:val="22"/>
              </w:rPr>
              <w:lastRenderedPageBreak/>
              <w:t>cooperación con universidades, empresas del sector odontológico, organizaciones no gubernamentales y demás entidades interesadas para el desarrollo del programa.</w:t>
            </w:r>
          </w:p>
          <w:p w:rsidR="004B199D" w:rsidRDefault="004B199D">
            <w:pPr>
              <w:pBdr>
                <w:top w:val="nil"/>
                <w:left w:val="nil"/>
                <w:bottom w:val="nil"/>
                <w:right w:val="nil"/>
                <w:between w:val="nil"/>
              </w:pBdr>
              <w:spacing w:before="92"/>
              <w:jc w:val="both"/>
              <w:rPr>
                <w:rFonts w:ascii="Arial" w:eastAsia="Arial" w:hAnsi="Arial" w:cs="Arial"/>
                <w:b/>
                <w:sz w:val="22"/>
                <w:szCs w:val="22"/>
              </w:rPr>
            </w:pP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92"/>
              <w:jc w:val="both"/>
              <w:rPr>
                <w:rFonts w:ascii="Arial" w:eastAsia="Arial" w:hAnsi="Arial" w:cs="Arial"/>
                <w:sz w:val="22"/>
                <w:szCs w:val="22"/>
              </w:rPr>
            </w:pPr>
            <w:r>
              <w:rPr>
                <w:rFonts w:ascii="Arial" w:eastAsia="Arial" w:hAnsi="Arial" w:cs="Arial"/>
                <w:b/>
                <w:sz w:val="22"/>
                <w:szCs w:val="22"/>
              </w:rPr>
              <w:lastRenderedPageBreak/>
              <w:t xml:space="preserve">ARTÍCULO 4. Alianzas Estratégicas. </w:t>
            </w:r>
            <w:r>
              <w:rPr>
                <w:rFonts w:ascii="Arial" w:eastAsia="Arial" w:hAnsi="Arial" w:cs="Arial"/>
                <w:color w:val="FF0000"/>
                <w:sz w:val="22"/>
                <w:szCs w:val="22"/>
              </w:rPr>
              <w:t>La Administración Distrital,</w:t>
            </w:r>
            <w:r>
              <w:rPr>
                <w:rFonts w:ascii="Arial" w:eastAsia="Arial" w:hAnsi="Arial" w:cs="Arial"/>
                <w:sz w:val="22"/>
                <w:szCs w:val="22"/>
              </w:rPr>
              <w:t xml:space="preserve"> </w:t>
            </w:r>
            <w:r>
              <w:rPr>
                <w:rFonts w:ascii="Arial" w:eastAsia="Arial" w:hAnsi="Arial" w:cs="Arial"/>
                <w:color w:val="FF0000"/>
                <w:sz w:val="22"/>
                <w:szCs w:val="22"/>
              </w:rPr>
              <w:t>en cabeza de</w:t>
            </w:r>
            <w:r>
              <w:rPr>
                <w:rFonts w:ascii="Arial" w:eastAsia="Arial" w:hAnsi="Arial" w:cs="Arial"/>
                <w:sz w:val="22"/>
                <w:szCs w:val="22"/>
              </w:rPr>
              <w:t xml:space="preserve"> la Secretaría de </w:t>
            </w:r>
            <w:r>
              <w:rPr>
                <w:rFonts w:ascii="Arial" w:eastAsia="Arial" w:hAnsi="Arial" w:cs="Arial"/>
                <w:sz w:val="22"/>
                <w:szCs w:val="22"/>
              </w:rPr>
              <w:lastRenderedPageBreak/>
              <w:t>Salud propenderá por gestionar convenios de cooperación con universidades, empresas del sector odontológico, organizaciones no gubernamentales y demás entidades interesadas para el desarrollo del programa.</w:t>
            </w:r>
          </w:p>
          <w:p w:rsidR="004B199D" w:rsidRDefault="004B199D">
            <w:pPr>
              <w:jc w:val="both"/>
              <w:rPr>
                <w:rFonts w:ascii="Arial" w:eastAsia="Arial" w:hAnsi="Arial" w:cs="Arial"/>
                <w:b/>
                <w:sz w:val="22"/>
                <w:szCs w:val="22"/>
              </w:rPr>
            </w:pPr>
          </w:p>
        </w:tc>
        <w:tc>
          <w:tcPr>
            <w:tcW w:w="2553"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b/>
                <w:sz w:val="22"/>
                <w:szCs w:val="22"/>
              </w:rPr>
            </w:pPr>
            <w:r>
              <w:rPr>
                <w:rFonts w:ascii="Arial" w:eastAsia="Arial" w:hAnsi="Arial" w:cs="Arial"/>
                <w:b/>
                <w:sz w:val="22"/>
                <w:szCs w:val="22"/>
              </w:rPr>
              <w:lastRenderedPageBreak/>
              <w:t>Se incluye a la Administración Distrital</w:t>
            </w: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b/>
                <w:sz w:val="22"/>
                <w:szCs w:val="22"/>
              </w:rPr>
            </w:pPr>
            <w:r>
              <w:rPr>
                <w:rFonts w:ascii="Arial" w:eastAsia="Arial" w:hAnsi="Arial" w:cs="Arial"/>
                <w:b/>
                <w:sz w:val="22"/>
                <w:szCs w:val="22"/>
              </w:rPr>
              <w:t xml:space="preserve">ARTÍCULO 5. Monitoreo y Evaluación. </w:t>
            </w:r>
            <w:r>
              <w:rPr>
                <w:rFonts w:ascii="Arial" w:eastAsia="Arial" w:hAnsi="Arial" w:cs="Arial"/>
                <w:sz w:val="22"/>
                <w:szCs w:val="22"/>
              </w:rPr>
              <w:t>La Secretaría de Salud de Bogotá será responsable de implementar mecanismos de monitoreo y evaluación para garantizar la efectividad del programa, publicando informes semestrales de avance y recomendaciones de mejora.</w:t>
            </w: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b/>
                <w:sz w:val="22"/>
                <w:szCs w:val="22"/>
              </w:rPr>
            </w:pPr>
            <w:r>
              <w:rPr>
                <w:rFonts w:ascii="Arial" w:eastAsia="Arial" w:hAnsi="Arial" w:cs="Arial"/>
                <w:b/>
                <w:sz w:val="22"/>
                <w:szCs w:val="22"/>
              </w:rPr>
              <w:t>Sin modificaciones</w:t>
            </w:r>
          </w:p>
        </w:tc>
        <w:tc>
          <w:tcPr>
            <w:tcW w:w="2553" w:type="dxa"/>
            <w:tcBorders>
              <w:top w:val="single" w:sz="4" w:space="0" w:color="000000"/>
              <w:left w:val="single" w:sz="4" w:space="0" w:color="000000"/>
              <w:bottom w:val="single" w:sz="4" w:space="0" w:color="000000"/>
              <w:right w:val="single" w:sz="4" w:space="0" w:color="000000"/>
            </w:tcBorders>
          </w:tcPr>
          <w:p w:rsidR="004B199D" w:rsidRDefault="004B199D">
            <w:pPr>
              <w:pBdr>
                <w:top w:val="nil"/>
                <w:left w:val="nil"/>
                <w:bottom w:val="nil"/>
                <w:right w:val="nil"/>
                <w:between w:val="nil"/>
              </w:pBdr>
              <w:spacing w:before="92"/>
              <w:jc w:val="both"/>
              <w:rPr>
                <w:rFonts w:ascii="Arial" w:eastAsia="Arial" w:hAnsi="Arial" w:cs="Arial"/>
                <w:b/>
                <w:sz w:val="22"/>
                <w:szCs w:val="22"/>
              </w:rPr>
            </w:pPr>
          </w:p>
        </w:tc>
      </w:tr>
      <w:tr w:rsidR="004B199D">
        <w:tc>
          <w:tcPr>
            <w:tcW w:w="2972" w:type="dxa"/>
            <w:tcBorders>
              <w:top w:val="single" w:sz="4" w:space="0" w:color="000000"/>
              <w:left w:val="single" w:sz="4" w:space="0" w:color="000000"/>
              <w:bottom w:val="single" w:sz="4" w:space="0" w:color="000000"/>
              <w:right w:val="single" w:sz="4" w:space="0" w:color="000000"/>
            </w:tcBorders>
          </w:tcPr>
          <w:p w:rsidR="004B199D" w:rsidRDefault="00AA0245">
            <w:pPr>
              <w:jc w:val="both"/>
              <w:rPr>
                <w:rFonts w:ascii="Arial" w:eastAsia="Arial" w:hAnsi="Arial" w:cs="Arial"/>
                <w:sz w:val="22"/>
                <w:szCs w:val="22"/>
              </w:rPr>
            </w:pPr>
            <w:r>
              <w:rPr>
                <w:rFonts w:ascii="Arial" w:eastAsia="Arial" w:hAnsi="Arial" w:cs="Arial"/>
                <w:b/>
                <w:sz w:val="22"/>
                <w:szCs w:val="22"/>
              </w:rPr>
              <w:t xml:space="preserve">ARTÍCULO 6. Vigencia. </w:t>
            </w:r>
            <w:r>
              <w:rPr>
                <w:rFonts w:ascii="Arial" w:eastAsia="Arial" w:hAnsi="Arial" w:cs="Arial"/>
                <w:sz w:val="22"/>
                <w:szCs w:val="22"/>
              </w:rPr>
              <w:t>El presente acuerdo rige a partir de la fecha de su promulgación.</w:t>
            </w:r>
          </w:p>
          <w:p w:rsidR="004B199D" w:rsidRDefault="004B199D">
            <w:pPr>
              <w:jc w:val="both"/>
              <w:rPr>
                <w:rFonts w:ascii="Arial" w:eastAsia="Arial" w:hAnsi="Arial" w:cs="Arial"/>
                <w:sz w:val="22"/>
                <w:szCs w:val="22"/>
              </w:rPr>
            </w:pPr>
          </w:p>
        </w:tc>
        <w:tc>
          <w:tcPr>
            <w:tcW w:w="3259" w:type="dxa"/>
            <w:tcBorders>
              <w:top w:val="single" w:sz="4" w:space="0" w:color="000000"/>
              <w:left w:val="single" w:sz="4" w:space="0" w:color="000000"/>
              <w:bottom w:val="single" w:sz="4" w:space="0" w:color="000000"/>
              <w:right w:val="single" w:sz="4" w:space="0" w:color="000000"/>
            </w:tcBorders>
          </w:tcPr>
          <w:p w:rsidR="004B199D" w:rsidRDefault="00AA0245">
            <w:pPr>
              <w:pBdr>
                <w:top w:val="nil"/>
                <w:left w:val="nil"/>
                <w:bottom w:val="nil"/>
                <w:right w:val="nil"/>
                <w:between w:val="nil"/>
              </w:pBdr>
              <w:spacing w:before="8"/>
              <w:jc w:val="both"/>
              <w:rPr>
                <w:rFonts w:ascii="Arial" w:eastAsia="Arial" w:hAnsi="Arial" w:cs="Arial"/>
                <w:b/>
                <w:sz w:val="22"/>
                <w:szCs w:val="22"/>
              </w:rPr>
            </w:pPr>
            <w:bookmarkStart w:id="1" w:name="_heading=h.gjdgxs" w:colFirst="0" w:colLast="0"/>
            <w:bookmarkEnd w:id="1"/>
            <w:r>
              <w:rPr>
                <w:rFonts w:ascii="Arial" w:eastAsia="Arial" w:hAnsi="Arial" w:cs="Arial"/>
                <w:b/>
                <w:sz w:val="22"/>
                <w:szCs w:val="22"/>
              </w:rPr>
              <w:t xml:space="preserve">Sin modificaciones </w:t>
            </w:r>
          </w:p>
        </w:tc>
        <w:tc>
          <w:tcPr>
            <w:tcW w:w="2553" w:type="dxa"/>
            <w:tcBorders>
              <w:top w:val="single" w:sz="4" w:space="0" w:color="000000"/>
              <w:left w:val="single" w:sz="4" w:space="0" w:color="000000"/>
              <w:bottom w:val="single" w:sz="4" w:space="0" w:color="000000"/>
              <w:right w:val="single" w:sz="4" w:space="0" w:color="000000"/>
            </w:tcBorders>
          </w:tcPr>
          <w:p w:rsidR="004B199D" w:rsidRDefault="004B199D">
            <w:pPr>
              <w:jc w:val="both"/>
              <w:rPr>
                <w:rFonts w:ascii="Arial" w:eastAsia="Arial" w:hAnsi="Arial" w:cs="Arial"/>
                <w:b/>
                <w:sz w:val="22"/>
                <w:szCs w:val="22"/>
              </w:rPr>
            </w:pPr>
          </w:p>
        </w:tc>
      </w:tr>
    </w:tbl>
    <w:p w:rsidR="004B199D" w:rsidRDefault="004B199D">
      <w:pPr>
        <w:keepNext/>
        <w:keepLines/>
        <w:spacing w:before="480" w:after="120" w:line="276" w:lineRule="auto"/>
        <w:rPr>
          <w:rFonts w:ascii="Arial" w:eastAsia="Arial" w:hAnsi="Arial" w:cs="Arial"/>
          <w:b/>
        </w:rPr>
      </w:pPr>
    </w:p>
    <w:p w:rsidR="003D5B27" w:rsidRDefault="003D5B27">
      <w:pPr>
        <w:keepNext/>
        <w:keepLines/>
        <w:spacing w:before="480" w:after="120" w:line="276" w:lineRule="auto"/>
        <w:rPr>
          <w:rFonts w:ascii="Arial" w:eastAsia="Arial" w:hAnsi="Arial" w:cs="Arial"/>
          <w:b/>
        </w:rPr>
      </w:pPr>
    </w:p>
    <w:p w:rsidR="003D5B27" w:rsidRDefault="003D5B27">
      <w:pPr>
        <w:keepNext/>
        <w:keepLines/>
        <w:spacing w:before="480" w:after="120" w:line="276" w:lineRule="auto"/>
        <w:rPr>
          <w:rFonts w:ascii="Arial" w:eastAsia="Arial" w:hAnsi="Arial" w:cs="Arial"/>
          <w:b/>
        </w:rPr>
      </w:pPr>
    </w:p>
    <w:p w:rsidR="003D5B27" w:rsidRDefault="003D5B27">
      <w:pPr>
        <w:rPr>
          <w:rFonts w:ascii="Arial" w:eastAsia="Arial" w:hAnsi="Arial" w:cs="Arial"/>
          <w:b/>
        </w:rPr>
      </w:pPr>
      <w:r>
        <w:rPr>
          <w:rFonts w:ascii="Arial" w:eastAsia="Arial" w:hAnsi="Arial" w:cs="Arial"/>
          <w:b/>
        </w:rPr>
        <w:br w:type="page"/>
      </w:r>
    </w:p>
    <w:p w:rsidR="004B199D" w:rsidRDefault="00AA0245">
      <w:pPr>
        <w:keepNext/>
        <w:keepLines/>
        <w:spacing w:before="480" w:after="120" w:line="276" w:lineRule="auto"/>
        <w:jc w:val="center"/>
        <w:rPr>
          <w:rFonts w:ascii="Arial" w:eastAsia="Arial" w:hAnsi="Arial" w:cs="Arial"/>
          <w:sz w:val="22"/>
          <w:szCs w:val="22"/>
        </w:rPr>
      </w:pPr>
      <w:r>
        <w:rPr>
          <w:rFonts w:ascii="Arial" w:eastAsia="Arial" w:hAnsi="Arial" w:cs="Arial"/>
          <w:b/>
        </w:rPr>
        <w:lastRenderedPageBreak/>
        <w:t>ARTICULADO</w:t>
      </w:r>
    </w:p>
    <w:p w:rsidR="004B199D" w:rsidRDefault="004B199D">
      <w:pPr>
        <w:spacing w:line="276" w:lineRule="auto"/>
        <w:jc w:val="center"/>
        <w:rPr>
          <w:rFonts w:ascii="Arial" w:eastAsia="Arial" w:hAnsi="Arial" w:cs="Arial"/>
          <w:sz w:val="22"/>
          <w:szCs w:val="22"/>
        </w:rPr>
      </w:pPr>
    </w:p>
    <w:p w:rsidR="004B199D" w:rsidRDefault="00AA0245">
      <w:pPr>
        <w:spacing w:line="276" w:lineRule="auto"/>
        <w:jc w:val="center"/>
        <w:rPr>
          <w:rFonts w:ascii="Arial" w:eastAsia="Arial" w:hAnsi="Arial" w:cs="Arial"/>
          <w:b/>
          <w:sz w:val="22"/>
          <w:szCs w:val="22"/>
        </w:rPr>
      </w:pPr>
      <w:r>
        <w:rPr>
          <w:rFonts w:ascii="Arial" w:eastAsia="Arial" w:hAnsi="Arial" w:cs="Arial"/>
          <w:b/>
          <w:sz w:val="22"/>
          <w:szCs w:val="22"/>
        </w:rPr>
        <w:t>PROYECTO DE ACUERDO No. 244 DE 2025</w:t>
      </w:r>
    </w:p>
    <w:p w:rsidR="004B199D" w:rsidRDefault="004B199D">
      <w:pPr>
        <w:spacing w:line="276" w:lineRule="auto"/>
        <w:jc w:val="both"/>
        <w:rPr>
          <w:rFonts w:ascii="Arial" w:eastAsia="Arial" w:hAnsi="Arial" w:cs="Arial"/>
          <w:b/>
          <w:sz w:val="22"/>
          <w:szCs w:val="22"/>
        </w:rPr>
      </w:pPr>
    </w:p>
    <w:p w:rsidR="004B199D" w:rsidRDefault="00AA0245">
      <w:pPr>
        <w:spacing w:line="254" w:lineRule="auto"/>
        <w:ind w:right="36"/>
        <w:jc w:val="center"/>
        <w:rPr>
          <w:rFonts w:ascii="Arial" w:eastAsia="Arial" w:hAnsi="Arial" w:cs="Arial"/>
          <w:b/>
          <w:sz w:val="22"/>
          <w:szCs w:val="22"/>
        </w:rPr>
      </w:pPr>
      <w:r>
        <w:rPr>
          <w:rFonts w:ascii="Arial" w:eastAsia="Arial" w:hAnsi="Arial" w:cs="Arial"/>
          <w:b/>
          <w:sz w:val="22"/>
          <w:szCs w:val="22"/>
        </w:rPr>
        <w:t>POR MEDIO DEL CUAL SE CREA EL PROGRAMA "SONRISA RURAL", ORIENTADO A MEJORAR LA SALUD ORAL DE LAS COMUNIDADES RURALES DE BOGOTÁ</w:t>
      </w:r>
    </w:p>
    <w:p w:rsidR="004B199D" w:rsidRDefault="004B199D">
      <w:pPr>
        <w:spacing w:line="254" w:lineRule="auto"/>
        <w:ind w:right="36"/>
        <w:jc w:val="center"/>
        <w:rPr>
          <w:rFonts w:ascii="Arial" w:eastAsia="Arial" w:hAnsi="Arial" w:cs="Arial"/>
          <w:b/>
          <w:sz w:val="22"/>
          <w:szCs w:val="22"/>
        </w:rPr>
      </w:pPr>
    </w:p>
    <w:p w:rsidR="004B199D" w:rsidRDefault="00AA0245">
      <w:pPr>
        <w:spacing w:line="254" w:lineRule="auto"/>
        <w:ind w:right="36"/>
        <w:jc w:val="center"/>
        <w:rPr>
          <w:rFonts w:ascii="Arial" w:eastAsia="Arial" w:hAnsi="Arial" w:cs="Arial"/>
          <w:b/>
          <w:sz w:val="22"/>
          <w:szCs w:val="22"/>
        </w:rPr>
      </w:pPr>
      <w:r>
        <w:rPr>
          <w:rFonts w:ascii="Arial" w:eastAsia="Arial" w:hAnsi="Arial" w:cs="Arial"/>
          <w:b/>
          <w:sz w:val="22"/>
          <w:szCs w:val="22"/>
        </w:rPr>
        <w:t>EL CONCEJO DE BOGOTÁ, D.C.</w:t>
      </w:r>
    </w:p>
    <w:p w:rsidR="004B199D" w:rsidRDefault="004B199D">
      <w:pPr>
        <w:spacing w:line="254" w:lineRule="auto"/>
        <w:ind w:right="36"/>
        <w:jc w:val="center"/>
        <w:rPr>
          <w:rFonts w:ascii="Arial" w:eastAsia="Arial" w:hAnsi="Arial" w:cs="Arial"/>
          <w:b/>
          <w:sz w:val="22"/>
          <w:szCs w:val="22"/>
        </w:rPr>
      </w:pPr>
    </w:p>
    <w:p w:rsidR="004B199D" w:rsidRDefault="00AA0245">
      <w:pPr>
        <w:spacing w:line="254" w:lineRule="auto"/>
        <w:ind w:right="36"/>
        <w:jc w:val="center"/>
        <w:rPr>
          <w:rFonts w:ascii="Arial" w:eastAsia="Arial" w:hAnsi="Arial" w:cs="Arial"/>
          <w:b/>
          <w:sz w:val="22"/>
          <w:szCs w:val="22"/>
        </w:rPr>
      </w:pPr>
      <w:r>
        <w:rPr>
          <w:rFonts w:ascii="Arial" w:eastAsia="Arial" w:hAnsi="Arial" w:cs="Arial"/>
          <w:sz w:val="22"/>
          <w:szCs w:val="22"/>
        </w:rPr>
        <w:t xml:space="preserve">En uso de sus atribuciones constitucionales y legales, y en especial las que le confieren los numerales </w:t>
      </w:r>
      <w:proofErr w:type="gramStart"/>
      <w:r>
        <w:rPr>
          <w:rFonts w:ascii="Arial" w:eastAsia="Arial" w:hAnsi="Arial" w:cs="Arial"/>
          <w:sz w:val="22"/>
          <w:szCs w:val="22"/>
        </w:rPr>
        <w:t>1  del</w:t>
      </w:r>
      <w:proofErr w:type="gramEnd"/>
      <w:r>
        <w:rPr>
          <w:rFonts w:ascii="Arial" w:eastAsia="Arial" w:hAnsi="Arial" w:cs="Arial"/>
          <w:sz w:val="22"/>
          <w:szCs w:val="22"/>
        </w:rPr>
        <w:t xml:space="preserve"> artículo 12 del Decreto Ley 1421 de 1993</w:t>
      </w:r>
    </w:p>
    <w:p w:rsidR="004B199D" w:rsidRDefault="004B199D">
      <w:pPr>
        <w:spacing w:line="276" w:lineRule="auto"/>
        <w:jc w:val="both"/>
        <w:rPr>
          <w:rFonts w:ascii="Arial" w:eastAsia="Arial" w:hAnsi="Arial" w:cs="Arial"/>
          <w:sz w:val="22"/>
          <w:szCs w:val="22"/>
        </w:rPr>
      </w:pPr>
    </w:p>
    <w:p w:rsidR="004B199D" w:rsidRDefault="00AA0245">
      <w:pPr>
        <w:jc w:val="both"/>
        <w:rPr>
          <w:rFonts w:ascii="Arial" w:eastAsia="Arial" w:hAnsi="Arial" w:cs="Arial"/>
          <w:sz w:val="22"/>
          <w:szCs w:val="22"/>
        </w:rPr>
      </w:pPr>
      <w:r>
        <w:rPr>
          <w:rFonts w:ascii="Arial" w:eastAsia="Arial" w:hAnsi="Arial" w:cs="Arial"/>
          <w:b/>
          <w:sz w:val="22"/>
          <w:szCs w:val="22"/>
        </w:rPr>
        <w:t xml:space="preserve">Artículo 1.  Objeto. </w:t>
      </w:r>
      <w:r>
        <w:rPr>
          <w:rFonts w:ascii="Arial" w:eastAsia="Arial" w:hAnsi="Arial" w:cs="Arial"/>
          <w:sz w:val="22"/>
          <w:szCs w:val="22"/>
        </w:rPr>
        <w:t>El presente acuerdo tiene como objetivo crear e implementar el programa "Sonrisa Rural", orientado a mejorar la salud oral de las comunidades rurales de Bogotá.</w:t>
      </w:r>
    </w:p>
    <w:p w:rsidR="004B199D" w:rsidRDefault="004B199D">
      <w:pPr>
        <w:spacing w:line="276" w:lineRule="auto"/>
        <w:jc w:val="both"/>
        <w:rPr>
          <w:rFonts w:ascii="Arial" w:eastAsia="Arial" w:hAnsi="Arial" w:cs="Arial"/>
          <w:sz w:val="22"/>
          <w:szCs w:val="22"/>
        </w:rPr>
      </w:pPr>
    </w:p>
    <w:p w:rsidR="004B199D" w:rsidRDefault="00AA0245">
      <w:pPr>
        <w:spacing w:before="92"/>
        <w:jc w:val="both"/>
        <w:rPr>
          <w:rFonts w:ascii="Arial" w:eastAsia="Arial" w:hAnsi="Arial" w:cs="Arial"/>
          <w:sz w:val="22"/>
          <w:szCs w:val="22"/>
        </w:rPr>
      </w:pPr>
      <w:r>
        <w:rPr>
          <w:rFonts w:ascii="Arial" w:eastAsia="Arial" w:hAnsi="Arial" w:cs="Arial"/>
          <w:b/>
          <w:sz w:val="22"/>
          <w:szCs w:val="22"/>
        </w:rPr>
        <w:t>Artículo 2. Principios.,</w:t>
      </w:r>
      <w:r>
        <w:rPr>
          <w:rFonts w:ascii="Arial" w:eastAsia="Arial" w:hAnsi="Arial" w:cs="Arial"/>
          <w:sz w:val="22"/>
          <w:szCs w:val="22"/>
        </w:rPr>
        <w:t xml:space="preserve"> El programa “Sonrisa Rural” se regirá por los siguientes principios:</w:t>
      </w:r>
    </w:p>
    <w:p w:rsidR="004B199D" w:rsidRDefault="00AA0245">
      <w:pPr>
        <w:spacing w:before="92"/>
        <w:jc w:val="both"/>
        <w:rPr>
          <w:rFonts w:ascii="Arial" w:eastAsia="Arial" w:hAnsi="Arial" w:cs="Arial"/>
          <w:sz w:val="22"/>
          <w:szCs w:val="22"/>
        </w:rPr>
      </w:pPr>
      <w:r>
        <w:rPr>
          <w:rFonts w:ascii="Arial" w:eastAsia="Arial" w:hAnsi="Arial" w:cs="Arial"/>
          <w:sz w:val="22"/>
          <w:szCs w:val="22"/>
        </w:rPr>
        <w:t>1.</w:t>
      </w:r>
      <w:r>
        <w:rPr>
          <w:rFonts w:ascii="Arial" w:eastAsia="Arial" w:hAnsi="Arial" w:cs="Arial"/>
          <w:sz w:val="22"/>
          <w:szCs w:val="22"/>
        </w:rPr>
        <w:tab/>
        <w:t>Accesibilidad: Garantizar que las comunidades rurales tengan acceso a programas de salud oral adecuados a sus necesidades. Teniendo en cuenta los ajustes razonables para las personas con discapacidad.</w:t>
      </w:r>
    </w:p>
    <w:p w:rsidR="004B199D" w:rsidRDefault="00AA0245">
      <w:pPr>
        <w:spacing w:before="92"/>
        <w:jc w:val="both"/>
        <w:rPr>
          <w:rFonts w:ascii="Arial" w:eastAsia="Arial" w:hAnsi="Arial" w:cs="Arial"/>
          <w:sz w:val="22"/>
          <w:szCs w:val="22"/>
        </w:rPr>
      </w:pPr>
      <w:r>
        <w:rPr>
          <w:rFonts w:ascii="Arial" w:eastAsia="Arial" w:hAnsi="Arial" w:cs="Arial"/>
          <w:sz w:val="22"/>
          <w:szCs w:val="22"/>
        </w:rPr>
        <w:t>2.</w:t>
      </w:r>
      <w:r>
        <w:rPr>
          <w:rFonts w:ascii="Arial" w:eastAsia="Arial" w:hAnsi="Arial" w:cs="Arial"/>
          <w:sz w:val="22"/>
          <w:szCs w:val="22"/>
        </w:rPr>
        <w:tab/>
        <w:t>Equidad: Brindar servicios priorizando a las poblaciones más vulnerables.</w:t>
      </w:r>
    </w:p>
    <w:p w:rsidR="004B199D" w:rsidRDefault="00AA0245">
      <w:pPr>
        <w:spacing w:before="92"/>
        <w:jc w:val="both"/>
        <w:rPr>
          <w:rFonts w:ascii="Arial" w:eastAsia="Arial" w:hAnsi="Arial" w:cs="Arial"/>
          <w:sz w:val="22"/>
          <w:szCs w:val="22"/>
        </w:rPr>
      </w:pPr>
      <w:r>
        <w:rPr>
          <w:rFonts w:ascii="Arial" w:eastAsia="Arial" w:hAnsi="Arial" w:cs="Arial"/>
          <w:sz w:val="22"/>
          <w:szCs w:val="22"/>
        </w:rPr>
        <w:t>3.</w:t>
      </w:r>
      <w:r>
        <w:rPr>
          <w:rFonts w:ascii="Arial" w:eastAsia="Arial" w:hAnsi="Arial" w:cs="Arial"/>
          <w:sz w:val="22"/>
          <w:szCs w:val="22"/>
        </w:rPr>
        <w:tab/>
        <w:t>Participación Comunitaria: Fomentar el compromiso de las comunidades mediante formación y autogestión.</w:t>
      </w:r>
    </w:p>
    <w:p w:rsidR="004B199D" w:rsidRDefault="00AA0245">
      <w:pPr>
        <w:spacing w:before="92"/>
        <w:jc w:val="both"/>
        <w:rPr>
          <w:rFonts w:ascii="Arial" w:eastAsia="Arial" w:hAnsi="Arial" w:cs="Arial"/>
          <w:b/>
          <w:sz w:val="22"/>
          <w:szCs w:val="22"/>
        </w:rPr>
      </w:pPr>
      <w:r>
        <w:rPr>
          <w:rFonts w:ascii="Arial" w:eastAsia="Arial" w:hAnsi="Arial" w:cs="Arial"/>
          <w:sz w:val="22"/>
          <w:szCs w:val="22"/>
        </w:rPr>
        <w:t>4.</w:t>
      </w:r>
      <w:r>
        <w:rPr>
          <w:rFonts w:ascii="Arial" w:eastAsia="Arial" w:hAnsi="Arial" w:cs="Arial"/>
          <w:sz w:val="22"/>
          <w:szCs w:val="22"/>
        </w:rPr>
        <w:tab/>
        <w:t>Sostenibilidad: Implementar soluciones basadas en alianzas y recursos existentes en el presupuesto público.</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Artículo 3. Componentes del Programa “Sonrisa Rural”</w:t>
      </w:r>
      <w:r>
        <w:rPr>
          <w:rFonts w:ascii="Arial" w:eastAsia="Arial" w:hAnsi="Arial" w:cs="Arial"/>
          <w:sz w:val="22"/>
          <w:szCs w:val="22"/>
        </w:rPr>
        <w:t xml:space="preserve">., El programa propenderá por contará con los siguientes componentes: </w:t>
      </w: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both"/>
        <w:rPr>
          <w:rFonts w:ascii="Arial" w:eastAsia="Arial" w:hAnsi="Arial" w:cs="Arial"/>
          <w:b/>
          <w:sz w:val="22"/>
          <w:szCs w:val="22"/>
        </w:rPr>
      </w:pPr>
      <w:r>
        <w:rPr>
          <w:rFonts w:ascii="Arial" w:eastAsia="Arial" w:hAnsi="Arial" w:cs="Arial"/>
          <w:b/>
          <w:sz w:val="22"/>
          <w:szCs w:val="22"/>
        </w:rPr>
        <w:t>1. Educación y Prevención:</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 xml:space="preserve"> a. </w:t>
      </w:r>
      <w:r>
        <w:rPr>
          <w:rFonts w:ascii="Arial" w:eastAsia="Arial" w:hAnsi="Arial" w:cs="Arial"/>
          <w:sz w:val="22"/>
          <w:szCs w:val="22"/>
        </w:rPr>
        <w:t xml:space="preserve">Capacitaciones de líderes comunitarios para formar Guardianes de la Sonrisa Rural. b. Campañas educativas en instituciones educativas rurales, centros comunitarios y medios locales.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b/>
          <w:sz w:val="22"/>
          <w:szCs w:val="22"/>
        </w:rPr>
      </w:pPr>
      <w:r>
        <w:rPr>
          <w:rFonts w:ascii="Arial" w:eastAsia="Arial" w:hAnsi="Arial" w:cs="Arial"/>
          <w:b/>
          <w:sz w:val="22"/>
          <w:szCs w:val="22"/>
        </w:rPr>
        <w:t>2. Banco de Prótesis Dentales:</w:t>
      </w: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lastRenderedPageBreak/>
        <w:t xml:space="preserve"> a.</w:t>
      </w:r>
      <w:r>
        <w:rPr>
          <w:rFonts w:ascii="Arial" w:eastAsia="Arial" w:hAnsi="Arial" w:cs="Arial"/>
          <w:sz w:val="22"/>
          <w:szCs w:val="22"/>
        </w:rPr>
        <w:t xml:space="preserve"> La creación de un banco de prótesis basado en donaciones y reciclaje, ajustadas por universidades con programas de odontología. b. Organización de talleres comunitarios para fabricar prótesis con métodos accesibles.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b/>
          <w:sz w:val="22"/>
          <w:szCs w:val="22"/>
        </w:rPr>
      </w:pPr>
      <w:r>
        <w:rPr>
          <w:rFonts w:ascii="Arial" w:eastAsia="Arial" w:hAnsi="Arial" w:cs="Arial"/>
          <w:b/>
          <w:sz w:val="22"/>
          <w:szCs w:val="22"/>
        </w:rPr>
        <w:t>3. Jornadas Móviles de Atención Oral:</w:t>
      </w: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a.</w:t>
      </w:r>
      <w:r>
        <w:rPr>
          <w:rFonts w:ascii="Arial" w:eastAsia="Arial" w:hAnsi="Arial" w:cs="Arial"/>
          <w:sz w:val="22"/>
          <w:szCs w:val="22"/>
        </w:rPr>
        <w:t xml:space="preserve"> Uso de unidades odontológicas móviles para visitas periódicas, en alianza con entidades privadas y educativas. b. Prestación de servicios básicos, limpiezas dentales, chequeos y adaptación de prótesis en las jornadas.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b/>
          <w:sz w:val="22"/>
          <w:szCs w:val="22"/>
        </w:rPr>
      </w:pPr>
      <w:r>
        <w:rPr>
          <w:rFonts w:ascii="Arial" w:eastAsia="Arial" w:hAnsi="Arial" w:cs="Arial"/>
          <w:b/>
          <w:sz w:val="22"/>
          <w:szCs w:val="22"/>
        </w:rPr>
        <w:t xml:space="preserve">4. Reconocimiento y Autogestión: </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a.</w:t>
      </w:r>
      <w:r>
        <w:rPr>
          <w:rFonts w:ascii="Arial" w:eastAsia="Arial" w:hAnsi="Arial" w:cs="Arial"/>
          <w:sz w:val="22"/>
          <w:szCs w:val="22"/>
        </w:rPr>
        <w:t xml:space="preserve"> Implementación de sistemas de contribuciones comunitarias no monetarias para garantizar el mantenimiento del programa. b. Crear un reconocimiento público a empresas y organizaciones que apoyen el programa.</w:t>
      </w:r>
    </w:p>
    <w:p w:rsidR="004B199D" w:rsidRDefault="004B199D">
      <w:pPr>
        <w:spacing w:line="276" w:lineRule="auto"/>
        <w:jc w:val="both"/>
        <w:rPr>
          <w:rFonts w:ascii="Arial" w:eastAsia="Arial" w:hAnsi="Arial" w:cs="Arial"/>
          <w:sz w:val="22"/>
          <w:szCs w:val="22"/>
        </w:rPr>
      </w:pPr>
    </w:p>
    <w:p w:rsidR="004B199D" w:rsidRDefault="00AA0245">
      <w:pPr>
        <w:spacing w:before="92"/>
        <w:jc w:val="both"/>
        <w:rPr>
          <w:rFonts w:ascii="Arial" w:eastAsia="Arial" w:hAnsi="Arial" w:cs="Arial"/>
          <w:sz w:val="22"/>
          <w:szCs w:val="22"/>
        </w:rPr>
      </w:pPr>
      <w:r>
        <w:rPr>
          <w:rFonts w:ascii="Arial" w:eastAsia="Arial" w:hAnsi="Arial" w:cs="Arial"/>
          <w:b/>
          <w:sz w:val="22"/>
          <w:szCs w:val="22"/>
        </w:rPr>
        <w:t xml:space="preserve">ARTÍCULO 4. Alianzas Estratégicas. </w:t>
      </w:r>
      <w:r>
        <w:rPr>
          <w:rFonts w:ascii="Arial" w:eastAsia="Arial" w:hAnsi="Arial" w:cs="Arial"/>
          <w:sz w:val="22"/>
          <w:szCs w:val="22"/>
        </w:rPr>
        <w:t>La Administración Distrital, en cabeza de la Secretaría de Salud propenderá por gestionar convenios de cooperación con universidades, empresas del sector odontológico, organizaciones no gubernamentales y demás entidades interesadas para el desarrollo del programa.</w:t>
      </w: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Artículo 5. Monitoreo y Evaluación.</w:t>
      </w:r>
      <w:r>
        <w:rPr>
          <w:rFonts w:ascii="Arial" w:eastAsia="Arial" w:hAnsi="Arial" w:cs="Arial"/>
          <w:sz w:val="22"/>
          <w:szCs w:val="22"/>
        </w:rPr>
        <w:t xml:space="preserve"> La Secretaría de Salud de Bogotá será responsable de implementar mecanismos de monitoreo y evaluación para garantizar la efectividad del programa, publicando informes semestrales de avance y recomendaciones de mejora.</w:t>
      </w: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b/>
          <w:sz w:val="22"/>
          <w:szCs w:val="22"/>
        </w:rPr>
        <w:t xml:space="preserve">Artículo 6. Vigencia. </w:t>
      </w:r>
      <w:r>
        <w:rPr>
          <w:rFonts w:ascii="Arial" w:eastAsia="Arial" w:hAnsi="Arial" w:cs="Arial"/>
          <w:sz w:val="22"/>
          <w:szCs w:val="22"/>
        </w:rPr>
        <w:t xml:space="preserve">El presente acuerdo rige a partir de la fecha de su promulgación. </w:t>
      </w:r>
    </w:p>
    <w:p w:rsidR="004B199D" w:rsidRDefault="004B199D">
      <w:pPr>
        <w:spacing w:line="276" w:lineRule="auto"/>
        <w:jc w:val="both"/>
        <w:rPr>
          <w:rFonts w:ascii="Arial" w:eastAsia="Arial" w:hAnsi="Arial" w:cs="Arial"/>
          <w:sz w:val="22"/>
          <w:szCs w:val="22"/>
        </w:rPr>
      </w:pPr>
    </w:p>
    <w:p w:rsidR="004B199D" w:rsidRDefault="004B199D">
      <w:pPr>
        <w:spacing w:line="276" w:lineRule="auto"/>
        <w:jc w:val="both"/>
        <w:rPr>
          <w:rFonts w:ascii="Arial" w:eastAsia="Arial" w:hAnsi="Arial" w:cs="Arial"/>
          <w:b/>
          <w:sz w:val="22"/>
          <w:szCs w:val="22"/>
        </w:rPr>
      </w:pPr>
    </w:p>
    <w:p w:rsidR="004B199D" w:rsidRDefault="00AA0245">
      <w:pPr>
        <w:spacing w:line="276" w:lineRule="auto"/>
        <w:jc w:val="center"/>
        <w:rPr>
          <w:rFonts w:ascii="Arial" w:eastAsia="Arial" w:hAnsi="Arial" w:cs="Arial"/>
          <w:b/>
          <w:sz w:val="22"/>
          <w:szCs w:val="22"/>
        </w:rPr>
      </w:pPr>
      <w:r>
        <w:rPr>
          <w:rFonts w:ascii="Arial" w:eastAsia="Arial" w:hAnsi="Arial" w:cs="Arial"/>
          <w:b/>
          <w:sz w:val="22"/>
          <w:szCs w:val="22"/>
        </w:rPr>
        <w:t xml:space="preserve">PUBLÍQUESE Y CÚMPLASE </w:t>
      </w:r>
    </w:p>
    <w:p w:rsidR="004B199D" w:rsidRDefault="004B199D">
      <w:pPr>
        <w:spacing w:line="276" w:lineRule="auto"/>
        <w:jc w:val="both"/>
        <w:rPr>
          <w:rFonts w:ascii="Arial" w:eastAsia="Arial" w:hAnsi="Arial" w:cs="Arial"/>
          <w:sz w:val="22"/>
          <w:szCs w:val="22"/>
        </w:rPr>
      </w:pPr>
    </w:p>
    <w:p w:rsidR="004B199D" w:rsidRDefault="004B199D">
      <w:pPr>
        <w:spacing w:line="276" w:lineRule="auto"/>
        <w:jc w:val="both"/>
        <w:rPr>
          <w:rFonts w:ascii="Arial" w:eastAsia="Arial" w:hAnsi="Arial" w:cs="Arial"/>
          <w:sz w:val="22"/>
          <w:szCs w:val="22"/>
        </w:rPr>
      </w:pPr>
    </w:p>
    <w:p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Dado en Bogotá D. C. a los _____ días del mes de ________ </w:t>
      </w:r>
      <w:proofErr w:type="spellStart"/>
      <w:r>
        <w:rPr>
          <w:rFonts w:ascii="Arial" w:eastAsia="Arial" w:hAnsi="Arial" w:cs="Arial"/>
          <w:sz w:val="22"/>
          <w:szCs w:val="22"/>
        </w:rPr>
        <w:t>de</w:t>
      </w:r>
      <w:proofErr w:type="spellEnd"/>
      <w:r>
        <w:rPr>
          <w:rFonts w:ascii="Arial" w:eastAsia="Arial" w:hAnsi="Arial" w:cs="Arial"/>
          <w:sz w:val="22"/>
          <w:szCs w:val="22"/>
        </w:rPr>
        <w:t xml:space="preserve"> 2025</w:t>
      </w:r>
    </w:p>
    <w:sectPr w:rsidR="004B199D">
      <w:headerReference w:type="even" r:id="rId9"/>
      <w:headerReference w:type="default" r:id="rId10"/>
      <w:footerReference w:type="even" r:id="rId11"/>
      <w:footerReference w:type="default" r:id="rId12"/>
      <w:pgSz w:w="12242" w:h="15842"/>
      <w:pgMar w:top="1417" w:right="1701" w:bottom="1417"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2CB" w:rsidRDefault="001162CB">
      <w:r>
        <w:separator/>
      </w:r>
    </w:p>
  </w:endnote>
  <w:endnote w:type="continuationSeparator" w:id="0">
    <w:p w:rsidR="001162CB" w:rsidRDefault="0011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¹Å">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Arial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9D" w:rsidRDefault="00AA024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4B199D" w:rsidRDefault="004B199D">
    <w:pPr>
      <w:pBdr>
        <w:top w:val="nil"/>
        <w:left w:val="nil"/>
        <w:bottom w:val="nil"/>
        <w:right w:val="nil"/>
        <w:between w:val="nil"/>
      </w:pBdr>
      <w:tabs>
        <w:tab w:val="center" w:pos="4252"/>
        <w:tab w:val="right" w:pos="8504"/>
      </w:tabs>
      <w:ind w:right="360"/>
      <w:rPr>
        <w:color w:val="000000"/>
      </w:rPr>
    </w:pPr>
  </w:p>
  <w:p w:rsidR="004B199D" w:rsidRDefault="004B199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9D" w:rsidRDefault="004B199D">
    <w:pPr>
      <w:jc w:val="both"/>
      <w:rPr>
        <w:rFonts w:ascii="Arial" w:eastAsia="Arial" w:hAnsi="Arial" w:cs="Arial"/>
        <w:sz w:val="20"/>
        <w:szCs w:val="20"/>
      </w:rPr>
    </w:pPr>
  </w:p>
  <w:p w:rsidR="004B199D" w:rsidRDefault="00AA0245">
    <w:pPr>
      <w:tabs>
        <w:tab w:val="center" w:pos="4252"/>
        <w:tab w:val="right" w:pos="8504"/>
      </w:tabs>
      <w:jc w:val="center"/>
      <w:rPr>
        <w:rFonts w:ascii="Arial" w:eastAsia="Arial" w:hAnsi="Arial" w:cs="Arial"/>
        <w:sz w:val="20"/>
        <w:szCs w:val="20"/>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1C4AEF">
      <w:rPr>
        <w:rFonts w:ascii="Arial" w:eastAsia="Arial" w:hAnsi="Arial" w:cs="Arial"/>
        <w:b/>
        <w:noProof/>
        <w:sz w:val="16"/>
        <w:szCs w:val="16"/>
      </w:rPr>
      <w:t>18</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1C4AEF">
      <w:rPr>
        <w:rFonts w:ascii="Arial" w:eastAsia="Arial" w:hAnsi="Arial" w:cs="Arial"/>
        <w:b/>
        <w:noProof/>
        <w:sz w:val="16"/>
        <w:szCs w:val="16"/>
      </w:rPr>
      <w:t>18</w:t>
    </w:r>
    <w:r>
      <w:rPr>
        <w:rFonts w:ascii="Arial" w:eastAsia="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2CB" w:rsidRDefault="001162CB">
      <w:r>
        <w:separator/>
      </w:r>
    </w:p>
  </w:footnote>
  <w:footnote w:type="continuationSeparator" w:id="0">
    <w:p w:rsidR="001162CB" w:rsidRDefault="001162CB">
      <w:r>
        <w:continuationSeparator/>
      </w:r>
    </w:p>
  </w:footnote>
  <w:footnote w:id="1">
    <w:p w:rsidR="004B199D" w:rsidRDefault="00AA0245">
      <w:pPr>
        <w:jc w:val="both"/>
        <w:rPr>
          <w:rFonts w:ascii="Arial" w:eastAsia="Arial" w:hAnsi="Arial" w:cs="Arial"/>
          <w:sz w:val="20"/>
          <w:szCs w:val="20"/>
        </w:rPr>
      </w:pPr>
      <w:r>
        <w:rPr>
          <w:vertAlign w:val="superscript"/>
        </w:rPr>
        <w:footnoteRef/>
      </w:r>
      <w:r>
        <w:rPr>
          <w:rFonts w:ascii="Arial" w:eastAsia="Arial" w:hAnsi="Arial" w:cs="Arial"/>
          <w:sz w:val="20"/>
          <w:szCs w:val="20"/>
        </w:rPr>
        <w:t xml:space="preserve">  Este acápite se desarrolla a partir de lo manifestado por el autor en la exposición de motivos, la cual puede ser consultada en la Red Interna del Concejo de Bogotá en la ruta: S:\ GOBIERNO \ PERIODO 2024-2027 \ 2025 \ PROYECTOS DE ACUERDO 2025 </w:t>
      </w:r>
      <w:proofErr w:type="gramStart"/>
      <w:r>
        <w:rPr>
          <w:rFonts w:ascii="Arial" w:eastAsia="Arial" w:hAnsi="Arial" w:cs="Arial"/>
          <w:sz w:val="20"/>
          <w:szCs w:val="20"/>
        </w:rPr>
        <w:t>\  PROYECTOS</w:t>
      </w:r>
      <w:proofErr w:type="gramEnd"/>
      <w:r>
        <w:rPr>
          <w:rFonts w:ascii="Arial" w:eastAsia="Arial" w:hAnsi="Arial" w:cs="Arial"/>
          <w:sz w:val="20"/>
          <w:szCs w:val="20"/>
        </w:rPr>
        <w:t xml:space="preserve"> DE ACUERDO MES DE FEBRERO - 2025 \  PROYECTOS DE ACUERDO 244  DE 2025.</w:t>
      </w:r>
    </w:p>
  </w:footnote>
  <w:footnote w:id="2">
    <w:p w:rsidR="004B199D" w:rsidRDefault="00AA0245">
      <w:pPr>
        <w:pBdr>
          <w:top w:val="nil"/>
          <w:left w:val="nil"/>
          <w:bottom w:val="nil"/>
          <w:right w:val="nil"/>
          <w:between w:val="nil"/>
        </w:pBdr>
        <w:jc w:val="both"/>
        <w:rPr>
          <w:rFonts w:ascii="Calibri" w:eastAsia="Calibri" w:hAnsi="Calibri" w:cs="Calibri"/>
          <w:color w:val="000000"/>
          <w:sz w:val="18"/>
          <w:szCs w:val="18"/>
        </w:rPr>
      </w:pPr>
      <w:r>
        <w:rPr>
          <w:vertAlign w:val="superscript"/>
        </w:rPr>
        <w:footnoteRef/>
      </w:r>
      <w:r>
        <w:rPr>
          <w:rFonts w:ascii="Calibri" w:eastAsia="Calibri" w:hAnsi="Calibri" w:cs="Calibri"/>
          <w:color w:val="000000"/>
          <w:sz w:val="18"/>
          <w:szCs w:val="18"/>
        </w:rPr>
        <w:t xml:space="preserve"> Por el cual se dicta el régimen especial para el Distrito Capital de Santafé de Bogotá.</w:t>
      </w:r>
    </w:p>
    <w:p w:rsidR="004B199D" w:rsidRDefault="004B199D">
      <w:pPr>
        <w:rPr>
          <w:rFonts w:ascii="Calibri" w:eastAsia="Calibri" w:hAnsi="Calibri" w:cs="Calibri"/>
          <w:sz w:val="18"/>
          <w:szCs w:val="18"/>
        </w:rPr>
      </w:pPr>
    </w:p>
    <w:p w:rsidR="004B199D" w:rsidRDefault="004B199D">
      <w:pPr>
        <w:pBdr>
          <w:top w:val="nil"/>
          <w:left w:val="nil"/>
          <w:bottom w:val="nil"/>
          <w:right w:val="nil"/>
          <w:between w:val="nil"/>
        </w:pBdr>
        <w:rPr>
          <w:rFonts w:ascii="Calibri" w:eastAsia="Calibri" w:hAnsi="Calibri" w:cs="Calibri"/>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9D" w:rsidRDefault="00AA024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4B199D" w:rsidRDefault="004B199D">
    <w:pPr>
      <w:pBdr>
        <w:top w:val="nil"/>
        <w:left w:val="nil"/>
        <w:bottom w:val="nil"/>
        <w:right w:val="nil"/>
        <w:between w:val="nil"/>
      </w:pBdr>
      <w:tabs>
        <w:tab w:val="center" w:pos="4252"/>
        <w:tab w:val="right" w:pos="8504"/>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9D" w:rsidRDefault="004B199D">
    <w:pPr>
      <w:pBdr>
        <w:top w:val="nil"/>
        <w:left w:val="nil"/>
        <w:bottom w:val="nil"/>
        <w:right w:val="nil"/>
        <w:between w:val="nil"/>
      </w:pBdr>
      <w:tabs>
        <w:tab w:val="center" w:pos="4252"/>
        <w:tab w:val="right" w:pos="8504"/>
      </w:tabs>
      <w:jc w:val="center"/>
      <w:rPr>
        <w:color w:val="00000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4B199D">
      <w:trPr>
        <w:trHeight w:val="454"/>
      </w:trPr>
      <w:tc>
        <w:tcPr>
          <w:tcW w:w="2361" w:type="dxa"/>
          <w:vMerge w:val="restart"/>
          <w:tcBorders>
            <w:top w:val="single" w:sz="4" w:space="0" w:color="000000"/>
            <w:left w:val="single" w:sz="4" w:space="0" w:color="000000"/>
            <w:right w:val="single" w:sz="4" w:space="0" w:color="000000"/>
          </w:tcBorders>
          <w:vAlign w:val="center"/>
        </w:tcPr>
        <w:p w:rsidR="004B199D" w:rsidRDefault="00AA0245">
          <w:pPr>
            <w:ind w:right="360"/>
            <w:jc w:val="center"/>
            <w:rPr>
              <w:sz w:val="16"/>
              <w:szCs w:val="16"/>
            </w:rPr>
          </w:pPr>
          <w:r>
            <w:rPr>
              <w:noProof/>
              <w:lang w:val="es-CO" w:eastAsia="es-CO"/>
            </w:rPr>
            <w:drawing>
              <wp:anchor distT="0" distB="0" distL="0" distR="0" simplePos="0" relativeHeight="251658240" behindDoc="1" locked="0" layoutInCell="1" hidden="0" allowOverlap="1">
                <wp:simplePos x="0" y="0"/>
                <wp:positionH relativeFrom="column">
                  <wp:posOffset>252095</wp:posOffset>
                </wp:positionH>
                <wp:positionV relativeFrom="paragraph">
                  <wp:posOffset>8890</wp:posOffset>
                </wp:positionV>
                <wp:extent cx="752475" cy="885825"/>
                <wp:effectExtent l="0" t="0" r="0"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4B199D" w:rsidRDefault="00AA0245">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4B199D" w:rsidRDefault="00AA0245">
          <w:pPr>
            <w:rPr>
              <w:sz w:val="16"/>
              <w:szCs w:val="16"/>
            </w:rPr>
          </w:pPr>
          <w:r>
            <w:rPr>
              <w:sz w:val="16"/>
              <w:szCs w:val="16"/>
            </w:rPr>
            <w:t>CÓDIGO</w:t>
          </w:r>
          <w:r>
            <w:rPr>
              <w:color w:val="3366FF"/>
              <w:sz w:val="16"/>
              <w:szCs w:val="16"/>
            </w:rPr>
            <w:t xml:space="preserve">: </w:t>
          </w:r>
          <w:r>
            <w:rPr>
              <w:sz w:val="16"/>
              <w:szCs w:val="16"/>
            </w:rPr>
            <w:t>GNV-FO-002</w:t>
          </w:r>
        </w:p>
      </w:tc>
    </w:tr>
    <w:tr w:rsidR="004B199D">
      <w:trPr>
        <w:trHeight w:val="454"/>
      </w:trPr>
      <w:tc>
        <w:tcPr>
          <w:tcW w:w="2361" w:type="dxa"/>
          <w:vMerge/>
          <w:tcBorders>
            <w:top w:val="single" w:sz="4" w:space="0" w:color="000000"/>
            <w:left w:val="single" w:sz="4" w:space="0" w:color="000000"/>
            <w:right w:val="single" w:sz="4" w:space="0" w:color="000000"/>
          </w:tcBorders>
          <w:vAlign w:val="center"/>
        </w:tcPr>
        <w:p w:rsidR="004B199D" w:rsidRDefault="004B199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4B199D" w:rsidRDefault="00AA0245">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4B199D" w:rsidRDefault="00AA0245">
          <w:pPr>
            <w:rPr>
              <w:sz w:val="16"/>
              <w:szCs w:val="16"/>
            </w:rPr>
          </w:pPr>
          <w:r>
            <w:rPr>
              <w:sz w:val="16"/>
              <w:szCs w:val="16"/>
            </w:rPr>
            <w:t>VERSIÓN: 01</w:t>
          </w:r>
        </w:p>
      </w:tc>
    </w:tr>
    <w:tr w:rsidR="004B199D">
      <w:trPr>
        <w:trHeight w:val="454"/>
      </w:trPr>
      <w:tc>
        <w:tcPr>
          <w:tcW w:w="2361" w:type="dxa"/>
          <w:vMerge/>
          <w:tcBorders>
            <w:top w:val="single" w:sz="4" w:space="0" w:color="000000"/>
            <w:left w:val="single" w:sz="4" w:space="0" w:color="000000"/>
            <w:right w:val="single" w:sz="4" w:space="0" w:color="000000"/>
          </w:tcBorders>
          <w:vAlign w:val="center"/>
        </w:tcPr>
        <w:p w:rsidR="004B199D" w:rsidRDefault="004B199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4B199D" w:rsidRDefault="004B199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4B199D" w:rsidRDefault="00AA0245">
          <w:pPr>
            <w:rPr>
              <w:sz w:val="16"/>
              <w:szCs w:val="16"/>
            </w:rPr>
          </w:pPr>
          <w:r>
            <w:rPr>
              <w:sz w:val="16"/>
              <w:szCs w:val="16"/>
            </w:rPr>
            <w:t>FECHA: 14-Nov-2019</w:t>
          </w:r>
        </w:p>
      </w:tc>
    </w:tr>
  </w:tbl>
  <w:p w:rsidR="004B199D" w:rsidRDefault="004B199D">
    <w:pPr>
      <w:pBdr>
        <w:top w:val="nil"/>
        <w:left w:val="nil"/>
        <w:bottom w:val="nil"/>
        <w:right w:val="nil"/>
        <w:between w:val="nil"/>
      </w:pBdr>
      <w:tabs>
        <w:tab w:val="center" w:pos="4252"/>
        <w:tab w:val="right" w:pos="8504"/>
      </w:tabs>
      <w:rPr>
        <w:color w:val="000000"/>
      </w:rPr>
    </w:pPr>
  </w:p>
  <w:p w:rsidR="004B199D" w:rsidRDefault="004B199D">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701E1"/>
    <w:multiLevelType w:val="multilevel"/>
    <w:tmpl w:val="857ED1C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A3D4B9B"/>
    <w:multiLevelType w:val="multilevel"/>
    <w:tmpl w:val="9D3ED770"/>
    <w:lvl w:ilvl="0">
      <w:start w:val="1"/>
      <w:numFmt w:val="upperRoman"/>
      <w:lvlText w:val="%1."/>
      <w:lvlJc w:val="left"/>
      <w:pPr>
        <w:ind w:left="1004" w:hanging="720"/>
      </w:pPr>
      <w:rPr>
        <w:b/>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77DB5CFC"/>
    <w:multiLevelType w:val="multilevel"/>
    <w:tmpl w:val="079AE1AE"/>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99D"/>
    <w:rsid w:val="001162CB"/>
    <w:rsid w:val="001C4AEF"/>
    <w:rsid w:val="001D1F90"/>
    <w:rsid w:val="001F38B9"/>
    <w:rsid w:val="003D5B27"/>
    <w:rsid w:val="004803A0"/>
    <w:rsid w:val="004B199D"/>
    <w:rsid w:val="00643808"/>
    <w:rsid w:val="00790143"/>
    <w:rsid w:val="009428B9"/>
    <w:rsid w:val="00AA0245"/>
    <w:rsid w:val="00AB1787"/>
    <w:rsid w:val="00D71B32"/>
    <w:rsid w:val="00E82DB5"/>
    <w:rsid w:val="00E87B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1A47E"/>
  <w15:docId w15:val="{84B437E8-7A6F-4CFC-AD3B-B444C7B2A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6B5"/>
    <w:rPr>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UnresolvedMention">
    <w:name w:val="Unresolved Mention"/>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Normal"/>
    <w:next w:val="Normal"/>
    <w:link w:val="SubttuloCar"/>
    <w:pPr>
      <w:keepNext/>
      <w:spacing w:before="60" w:after="120"/>
      <w:jc w:val="center"/>
    </w:pPr>
    <w:rPr>
      <w:rFonts w:ascii="Liberation Sans" w:eastAsia="Liberation Sans" w:hAnsi="Liberation Sans" w:cs="Liberation Sans"/>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bTxTtwt8ZdC91l4+51FdNEMiA==">CgMxLjAyCGguZ2pkZ3hzOAByITE4QkVOWDh5N1JVSlo3ZXR1T2J5M1FzQmNuODBZQVQwUA==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871411-BE32-4D6C-BEB2-54805E7F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4989</Words>
  <Characters>27444</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SEBASTIÁN DIAZ PINILLA</cp:lastModifiedBy>
  <cp:revision>3</cp:revision>
  <cp:lastPrinted>2025-07-22T14:59:00Z</cp:lastPrinted>
  <dcterms:created xsi:type="dcterms:W3CDTF">2025-07-22T15:00:00Z</dcterms:created>
  <dcterms:modified xsi:type="dcterms:W3CDTF">2025-07-22T15:00:00Z</dcterms:modified>
</cp:coreProperties>
</file>